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方正小标宋简体" w:hAnsi="宋体" w:eastAsia="方正小标宋简体"/>
          <w:color w:val="FF0000"/>
          <w:sz w:val="96"/>
          <w:szCs w:val="66"/>
          <w:highlight w:val="none"/>
        </w:rPr>
      </w:pPr>
      <w:r>
        <w:rPr>
          <w:rFonts w:hint="eastAsia" w:ascii="方正小标宋简体" w:hAnsi="宋体" w:eastAsia="方正小标宋简体"/>
          <w:color w:val="FF0000"/>
          <w:sz w:val="96"/>
          <w:szCs w:val="66"/>
          <w:highlight w:val="none"/>
        </w:rPr>
        <w:t>中山大学化学学院</w:t>
      </w:r>
    </w:p>
    <w:p>
      <w:pPr>
        <w:spacing w:line="560" w:lineRule="atLeast"/>
        <w:ind w:right="70"/>
        <w:jc w:val="right"/>
        <w:rPr>
          <w:color w:val="auto"/>
          <w:sz w:val="28"/>
          <w:szCs w:val="28"/>
          <w:highlight w:val="none"/>
        </w:rPr>
      </w:pPr>
      <w:r>
        <w:rPr>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-229870</wp:posOffset>
                </wp:positionH>
                <wp:positionV relativeFrom="paragraph">
                  <wp:posOffset>5080</wp:posOffset>
                </wp:positionV>
                <wp:extent cx="6155055" cy="50800"/>
                <wp:effectExtent l="0" t="0" r="0" b="0"/>
                <wp:wrapNone/>
                <wp:docPr id="6" name="组合 6"/>
                <wp:cNvGraphicFramePr/>
                <a:graphic xmlns:a="http://schemas.openxmlformats.org/drawingml/2006/main">
                  <a:graphicData uri="http://schemas.microsoft.com/office/word/2010/wordprocessingGroup">
                    <wpg:wgp>
                      <wpg:cNvGrpSpPr/>
                      <wpg:grpSpPr>
                        <a:xfrm>
                          <a:off x="0" y="0"/>
                          <a:ext cx="6155055" cy="50800"/>
                          <a:chOff x="1238" y="3498"/>
                          <a:chExt cx="9693" cy="80"/>
                        </a:xfrm>
                        <a:effectLst/>
                      </wpg:grpSpPr>
                      <wps:wsp>
                        <wps:cNvPr id="7" name="Line 5"/>
                        <wps:cNvCnPr/>
                        <wps:spPr bwMode="auto">
                          <a:xfrm>
                            <a:off x="1238" y="3498"/>
                            <a:ext cx="9693" cy="0"/>
                          </a:xfrm>
                          <a:prstGeom prst="line">
                            <a:avLst/>
                          </a:prstGeom>
                          <a:noFill/>
                          <a:ln w="28575">
                            <a:solidFill>
                              <a:srgbClr val="FF0000"/>
                            </a:solidFill>
                            <a:round/>
                          </a:ln>
                          <a:effectLst/>
                        </wps:spPr>
                        <wps:bodyPr/>
                      </wps:wsp>
                      <wps:wsp>
                        <wps:cNvPr id="8" name="Line 6"/>
                        <wps:cNvCnPr/>
                        <wps:spPr bwMode="auto">
                          <a:xfrm>
                            <a:off x="1238" y="3578"/>
                            <a:ext cx="9693"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18.1pt;margin-top:0.4pt;height:4pt;width:484.65pt;z-index:251660288;mso-width-relative:page;mso-height-relative:page;" coordorigin="1238,3498" coordsize="9693,80" o:gfxdata="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2Fa7WAAAABgEAAA8AAAAAAAAAAQAgAAAAIgAAAGRycy9kb3ducmV2LnhtbFBL&#10;AQIUABQAAAAIAIdO4kDBicdEMQIAAAwGAAAOAAAAAAAAAAEAIAAAACUBAABkcnMvZTJvRG9jLnht&#10;bFBLBQYAAAAABgAGAFkBAADIBQAAAAA=&#10;">
                <o:lock v:ext="edit" aspectratio="f"/>
                <v:line id="Line 5" o:spid="_x0000_s1026" o:spt="20" style="position:absolute;left:1238;top:3498;height:0;width:9693;" filled="f" stroked="t" coordsize="21600,21600" o:gfxdata="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oIV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Line 6" o:spid="_x0000_s1026" o:spt="20" style="position:absolute;left:1238;top:3578;height:0;width:9693;" filled="f" stroked="t" coordsize="21600,21600" o:gfxdata="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loxm5AAAA2gAA&#10;AA8AAAAAAAAAAQAgAAAAIgAAAGRycy9kb3ducmV2LnhtbFBLAQIUABQAAAAIAIdO4kAzLwWeOwAA&#10;ADkAAAAQAAAAAAAAAAEAIAAAAAgBAABkcnMvc2hhcGV4bWwueG1sUEsFBgAAAAAGAAYAWwEAALID&#10;AAAAAA==&#10;">
                  <v:fill on="f" focussize="0,0"/>
                  <v:stroke color="#FF0000" joinstyle="round"/>
                  <v:imagedata o:title=""/>
                  <o:lock v:ext="edit" aspectratio="f"/>
                </v:line>
              </v:group>
            </w:pict>
          </mc:Fallback>
        </mc:AlternateContent>
      </w:r>
    </w:p>
    <w:p>
      <w:pPr>
        <w:kinsoku w:val="0"/>
        <w:overflowPunct w:val="0"/>
        <w:autoSpaceDE w:val="0"/>
        <w:autoSpaceDN w:val="0"/>
        <w:adjustRightInd w:val="0"/>
        <w:snapToGrid w:val="0"/>
        <w:spacing w:line="360" w:lineRule="auto"/>
        <w:ind w:firstLine="5760" w:firstLineChars="1800"/>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化学﹝2020﹞</w:t>
      </w:r>
      <w:r>
        <w:rPr>
          <w:rFonts w:hint="eastAsia" w:ascii="仿宋" w:hAnsi="仿宋" w:eastAsia="仿宋" w:cs="Times New Roman"/>
          <w:color w:val="auto"/>
          <w:kern w:val="21"/>
          <w:sz w:val="32"/>
          <w:szCs w:val="28"/>
          <w:highlight w:val="none"/>
          <w:lang w:val="en-US" w:eastAsia="zh-CN"/>
        </w:rPr>
        <w:t>9</w:t>
      </w:r>
      <w:r>
        <w:rPr>
          <w:rFonts w:hint="eastAsia" w:ascii="仿宋" w:hAnsi="仿宋" w:eastAsia="仿宋" w:cs="Times New Roman"/>
          <w:color w:val="auto"/>
          <w:kern w:val="21"/>
          <w:sz w:val="32"/>
          <w:szCs w:val="28"/>
          <w:highlight w:val="none"/>
        </w:rPr>
        <w:t>号</w:t>
      </w:r>
    </w:p>
    <w:p>
      <w:pPr>
        <w:shd w:val="clear" w:color="auto" w:fill="FFFFFF"/>
        <w:spacing w:before="300" w:after="150"/>
        <w:jc w:val="center"/>
        <w:outlineLvl w:val="2"/>
        <w:rPr>
          <w:rFonts w:ascii="方正小标宋简体" w:hAnsi="微软雅黑" w:eastAsia="方正小标宋简体"/>
          <w:bCs/>
          <w:color w:val="auto"/>
          <w:sz w:val="44"/>
          <w:szCs w:val="44"/>
          <w:highlight w:val="none"/>
        </w:rPr>
      </w:pPr>
      <w:r>
        <w:rPr>
          <w:rFonts w:hint="eastAsia" w:ascii="方正小标宋简体" w:hAnsi="微软雅黑" w:eastAsia="方正小标宋简体"/>
          <w:bCs/>
          <w:color w:val="auto"/>
          <w:sz w:val="44"/>
          <w:szCs w:val="44"/>
          <w:highlight w:val="none"/>
        </w:rPr>
        <w:t>化学学院关于印发《</w:t>
      </w:r>
      <w:r>
        <w:rPr>
          <w:rFonts w:hint="eastAsia" w:ascii="方正小标宋简体" w:hAnsi="微软雅黑" w:eastAsia="方正小标宋简体" w:cs="Times New Roman"/>
          <w:bCs/>
          <w:color w:val="auto"/>
          <w:sz w:val="44"/>
          <w:szCs w:val="44"/>
          <w:highlight w:val="none"/>
        </w:rPr>
        <w:t>化学学院本科生奖学金管理办法</w:t>
      </w:r>
      <w:r>
        <w:rPr>
          <w:rFonts w:hint="eastAsia" w:ascii="方正小标宋简体" w:hAnsi="微软雅黑" w:eastAsia="方正小标宋简体"/>
          <w:bCs/>
          <w:color w:val="auto"/>
          <w:sz w:val="44"/>
          <w:szCs w:val="44"/>
          <w:highlight w:val="none"/>
        </w:rPr>
        <w:t>》的通知</w:t>
      </w:r>
    </w:p>
    <w:p>
      <w:pPr>
        <w:shd w:val="clear" w:color="auto" w:fill="FFFFFF"/>
        <w:spacing w:before="300" w:after="150" w:line="360" w:lineRule="auto"/>
        <w:outlineLvl w:val="2"/>
        <w:rPr>
          <w:rFonts w:ascii="微软雅黑" w:hAnsi="微软雅黑" w:eastAsia="微软雅黑" w:cs="微软雅黑"/>
          <w:bCs/>
          <w:color w:val="auto"/>
          <w:szCs w:val="32"/>
          <w:highlight w:val="none"/>
        </w:rPr>
      </w:pPr>
    </w:p>
    <w:p>
      <w:pPr>
        <w:adjustRightInd w:val="0"/>
        <w:snapToGrid w:val="0"/>
        <w:spacing w:line="360" w:lineRule="auto"/>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院内各单位：</w:t>
      </w:r>
    </w:p>
    <w:p>
      <w:pPr>
        <w:adjustRightInd w:val="0"/>
        <w:snapToGrid w:val="0"/>
        <w:spacing w:line="360" w:lineRule="auto"/>
        <w:ind w:firstLine="640" w:firstLineChars="200"/>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《化学学院本科生奖学金管理办法》经学院党政联席会议审议通过，现予以公布，请遵照执行。</w:t>
      </w:r>
    </w:p>
    <w:p>
      <w:pPr>
        <w:adjustRightInd w:val="0"/>
        <w:snapToGrid w:val="0"/>
        <w:spacing w:line="360" w:lineRule="auto"/>
        <w:ind w:firstLine="640" w:firstLineChars="200"/>
        <w:jc w:val="left"/>
        <w:rPr>
          <w:rFonts w:hint="eastAsia" w:ascii="仿宋" w:hAnsi="仿宋" w:eastAsia="仿宋" w:cs="Times New Roman"/>
          <w:color w:val="auto"/>
          <w:kern w:val="21"/>
          <w:sz w:val="32"/>
          <w:szCs w:val="28"/>
          <w:highlight w:val="none"/>
        </w:rPr>
      </w:pPr>
    </w:p>
    <w:p>
      <w:pPr>
        <w:adjustRightInd w:val="0"/>
        <w:snapToGrid w:val="0"/>
        <w:spacing w:line="360" w:lineRule="auto"/>
        <w:ind w:firstLine="640" w:firstLineChars="200"/>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 xml:space="preserve">                               化学学院</w:t>
      </w:r>
    </w:p>
    <w:p>
      <w:pPr>
        <w:adjustRightInd w:val="0"/>
        <w:snapToGrid w:val="0"/>
        <w:spacing w:line="360" w:lineRule="auto"/>
        <w:ind w:firstLine="640" w:firstLineChars="200"/>
        <w:jc w:val="left"/>
        <w:rPr>
          <w:rFonts w:hint="eastAsia" w:ascii="仿宋" w:hAnsi="仿宋" w:eastAsia="仿宋" w:cs="Times New Roman"/>
          <w:color w:val="auto"/>
          <w:kern w:val="21"/>
          <w:sz w:val="32"/>
          <w:szCs w:val="28"/>
          <w:highlight w:val="none"/>
        </w:rPr>
      </w:pPr>
      <w:r>
        <w:rPr>
          <w:rFonts w:hint="eastAsia" w:ascii="仿宋" w:hAnsi="仿宋" w:eastAsia="仿宋" w:cs="Times New Roman"/>
          <w:color w:val="auto"/>
          <w:kern w:val="21"/>
          <w:sz w:val="32"/>
          <w:szCs w:val="28"/>
          <w:highlight w:val="none"/>
        </w:rPr>
        <w:t xml:space="preserve">  </w:t>
      </w:r>
      <w:r>
        <w:rPr>
          <w:rFonts w:hint="eastAsia" w:ascii="仿宋" w:hAnsi="仿宋" w:eastAsia="仿宋" w:cs="Times New Roman"/>
          <w:color w:val="auto"/>
          <w:kern w:val="21"/>
          <w:sz w:val="32"/>
          <w:szCs w:val="28"/>
          <w:highlight w:val="none"/>
          <w:lang w:val="en-US" w:eastAsia="zh-CN"/>
        </w:rPr>
        <w:t xml:space="preserve">                         </w:t>
      </w:r>
      <w:r>
        <w:rPr>
          <w:rFonts w:hint="eastAsia" w:ascii="仿宋" w:hAnsi="仿宋" w:eastAsia="仿宋" w:cs="Times New Roman"/>
          <w:color w:val="auto"/>
          <w:kern w:val="21"/>
          <w:sz w:val="32"/>
          <w:szCs w:val="28"/>
          <w:highlight w:val="none"/>
        </w:rPr>
        <w:t>2020年</w:t>
      </w:r>
      <w:r>
        <w:rPr>
          <w:rFonts w:hint="eastAsia" w:ascii="仿宋" w:hAnsi="仿宋" w:eastAsia="仿宋" w:cs="Times New Roman"/>
          <w:color w:val="auto"/>
          <w:kern w:val="21"/>
          <w:sz w:val="32"/>
          <w:szCs w:val="28"/>
          <w:highlight w:val="none"/>
          <w:lang w:val="en-US" w:eastAsia="zh-CN"/>
        </w:rPr>
        <w:t>4</w:t>
      </w:r>
      <w:r>
        <w:rPr>
          <w:rFonts w:hint="eastAsia" w:ascii="仿宋" w:hAnsi="仿宋" w:eastAsia="仿宋" w:cs="Times New Roman"/>
          <w:color w:val="auto"/>
          <w:kern w:val="21"/>
          <w:sz w:val="32"/>
          <w:szCs w:val="28"/>
          <w:highlight w:val="none"/>
        </w:rPr>
        <w:t>月</w:t>
      </w:r>
      <w:r>
        <w:rPr>
          <w:rFonts w:hint="eastAsia" w:ascii="仿宋" w:hAnsi="仿宋" w:eastAsia="仿宋" w:cs="Times New Roman"/>
          <w:color w:val="auto"/>
          <w:kern w:val="21"/>
          <w:sz w:val="32"/>
          <w:szCs w:val="28"/>
          <w:highlight w:val="none"/>
          <w:lang w:val="en-US" w:eastAsia="zh-CN"/>
        </w:rPr>
        <w:t>4</w:t>
      </w:r>
      <w:r>
        <w:rPr>
          <w:rFonts w:hint="eastAsia" w:ascii="仿宋" w:hAnsi="仿宋" w:eastAsia="仿宋" w:cs="Times New Roman"/>
          <w:color w:val="auto"/>
          <w:kern w:val="21"/>
          <w:sz w:val="32"/>
          <w:szCs w:val="28"/>
          <w:highlight w:val="none"/>
        </w:rPr>
        <w:t xml:space="preserve">日 </w:t>
      </w:r>
    </w:p>
    <w:p>
      <w:pP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p>
    <w:p>
      <w:pPr>
        <w:pStyle w:val="6"/>
        <w:spacing w:before="0" w:beforeAutospacing="0" w:after="0" w:afterAutospacing="0" w:line="480" w:lineRule="atLeast"/>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化学学院本科生奖学金管理办法</w:t>
      </w:r>
    </w:p>
    <w:p>
      <w:pPr>
        <w:pStyle w:val="6"/>
        <w:spacing w:before="0" w:beforeAutospacing="0" w:after="0" w:afterAutospacing="0" w:line="480" w:lineRule="atLeast"/>
        <w:ind w:firstLine="885"/>
        <w:jc w:val="center"/>
        <w:rPr>
          <w:rFonts w:hint="eastAsia" w:ascii="黑体" w:hAnsi="黑体" w:eastAsia="黑体" w:cs="Segoe UI"/>
          <w:color w:val="auto"/>
          <w:sz w:val="32"/>
          <w:szCs w:val="32"/>
          <w:highlight w:val="none"/>
        </w:rPr>
      </w:pPr>
    </w:p>
    <w:p>
      <w:pPr>
        <w:pStyle w:val="6"/>
        <w:spacing w:before="0" w:beforeAutospacing="0" w:after="0" w:afterAutospacing="0" w:line="480" w:lineRule="atLeast"/>
        <w:ind w:firstLine="885"/>
        <w:jc w:val="center"/>
        <w:rPr>
          <w:rFonts w:ascii="Segoe UI" w:hAnsi="Segoe UI" w:cs="Segoe UI"/>
          <w:color w:val="auto"/>
          <w:sz w:val="32"/>
          <w:szCs w:val="32"/>
          <w:highlight w:val="none"/>
        </w:rPr>
      </w:pPr>
      <w:r>
        <w:rPr>
          <w:rFonts w:hint="eastAsia" w:ascii="黑体" w:hAnsi="黑体" w:eastAsia="黑体" w:cs="Segoe UI"/>
          <w:color w:val="auto"/>
          <w:sz w:val="32"/>
          <w:szCs w:val="32"/>
          <w:highlight w:val="none"/>
        </w:rPr>
        <w:t>第一章</w:t>
      </w:r>
      <w:r>
        <w:rPr>
          <w:rFonts w:ascii="inherit" w:hAnsi="inherit" w:cs="Segoe UI"/>
          <w:color w:val="auto"/>
          <w:sz w:val="32"/>
          <w:szCs w:val="32"/>
          <w:highlight w:val="none"/>
        </w:rPr>
        <w:t>  </w:t>
      </w:r>
      <w:r>
        <w:rPr>
          <w:rFonts w:hint="eastAsia" w:ascii="黑体" w:hAnsi="黑体" w:eastAsia="黑体" w:cs="Segoe UI"/>
          <w:color w:val="auto"/>
          <w:sz w:val="32"/>
          <w:szCs w:val="32"/>
          <w:highlight w:val="none"/>
        </w:rPr>
        <w:t>总则</w:t>
      </w:r>
    </w:p>
    <w:p>
      <w:pPr>
        <w:pStyle w:val="6"/>
        <w:spacing w:before="0" w:beforeAutospacing="0" w:after="0" w:afterAutospacing="0" w:line="480" w:lineRule="atLeast"/>
        <w:ind w:firstLine="645"/>
        <w:jc w:val="both"/>
        <w:rPr>
          <w:rFonts w:ascii="Segoe UI" w:hAnsi="Segoe UI" w:cs="Segoe UI"/>
          <w:color w:val="auto"/>
          <w:sz w:val="32"/>
          <w:szCs w:val="32"/>
          <w:highlight w:val="none"/>
        </w:rPr>
      </w:pPr>
      <w:r>
        <w:rPr>
          <w:rStyle w:val="10"/>
          <w:rFonts w:hint="eastAsia" w:ascii="仿宋_GB2312" w:hAnsi="inherit" w:eastAsia="仿宋_GB2312" w:cs="Segoe UI"/>
          <w:color w:val="auto"/>
          <w:sz w:val="32"/>
          <w:szCs w:val="32"/>
          <w:highlight w:val="none"/>
        </w:rPr>
        <w:t>第一条</w:t>
      </w:r>
      <w:r>
        <w:rPr>
          <w:rStyle w:val="10"/>
          <w:rFonts w:ascii="inherit" w:hAnsi="inherit" w:cs="Segoe UI"/>
          <w:color w:val="auto"/>
          <w:sz w:val="32"/>
          <w:szCs w:val="32"/>
          <w:highlight w:val="none"/>
        </w:rPr>
        <w:t> </w:t>
      </w:r>
      <w:r>
        <w:rPr>
          <w:rFonts w:hint="eastAsia" w:ascii="仿宋_GB2312" w:hAnsi="Segoe UI" w:eastAsia="仿宋_GB2312" w:cs="Segoe UI"/>
          <w:color w:val="auto"/>
          <w:sz w:val="32"/>
          <w:szCs w:val="32"/>
          <w:highlight w:val="none"/>
        </w:rPr>
        <w:t>为贯彻党和国家的教育方针，坚持立德树人的根本任务，激励学生奋发学习、刻苦钻研、追求卓越，自觉践行社会主义核心价值观，促进学生综合素质的全面发展，培养社会主义合格建设者和可靠接班人，根据《中华人民共和国高等教育法》《普通高等学校学生管理规定》《普通本科高校、高等职业学校国家奖学金管理暂行办法》《中山大学本科生奖学金管理办法》和有关文件精神，结合我院实际情况，制定本办法。</w:t>
      </w:r>
    </w:p>
    <w:p>
      <w:pPr>
        <w:pStyle w:val="6"/>
        <w:spacing w:before="0" w:beforeAutospacing="0" w:after="0" w:afterAutospacing="0" w:line="480" w:lineRule="atLeast"/>
        <w:ind w:firstLine="645"/>
        <w:jc w:val="both"/>
        <w:rPr>
          <w:rFonts w:ascii="Segoe UI" w:hAnsi="Segoe UI" w:cs="Segoe UI"/>
          <w:color w:val="auto"/>
          <w:sz w:val="32"/>
          <w:szCs w:val="32"/>
          <w:highlight w:val="none"/>
        </w:rPr>
      </w:pPr>
      <w:r>
        <w:rPr>
          <w:rStyle w:val="10"/>
          <w:rFonts w:hint="eastAsia" w:ascii="仿宋_GB2312" w:hAnsi="inherit" w:eastAsia="仿宋_GB2312" w:cs="Segoe UI"/>
          <w:color w:val="auto"/>
          <w:sz w:val="32"/>
          <w:szCs w:val="32"/>
          <w:highlight w:val="none"/>
        </w:rPr>
        <w:t>第二条</w:t>
      </w:r>
      <w:r>
        <w:rPr>
          <w:rStyle w:val="10"/>
          <w:rFonts w:ascii="inherit" w:hAnsi="inherit" w:cs="Segoe UI"/>
          <w:color w:val="auto"/>
          <w:sz w:val="32"/>
          <w:szCs w:val="32"/>
          <w:highlight w:val="none"/>
        </w:rPr>
        <w:t> </w:t>
      </w:r>
      <w:r>
        <w:rPr>
          <w:rFonts w:hint="eastAsia" w:ascii="仿宋_GB2312" w:hAnsi="Segoe UI" w:eastAsia="仿宋_GB2312" w:cs="Segoe UI"/>
          <w:color w:val="auto"/>
          <w:sz w:val="32"/>
          <w:szCs w:val="32"/>
          <w:highlight w:val="none"/>
        </w:rPr>
        <w:t>本办法适用于我院全日制本科生（含第二学士学位）。</w:t>
      </w:r>
    </w:p>
    <w:p>
      <w:pPr>
        <w:pStyle w:val="6"/>
        <w:spacing w:before="0" w:beforeAutospacing="0" w:after="0" w:afterAutospacing="0" w:line="480" w:lineRule="atLeast"/>
        <w:ind w:firstLine="645"/>
        <w:jc w:val="both"/>
        <w:rPr>
          <w:rFonts w:ascii="Segoe UI" w:hAnsi="Segoe UI" w:cs="Segoe UI"/>
          <w:color w:val="auto"/>
          <w:sz w:val="32"/>
          <w:szCs w:val="32"/>
          <w:highlight w:val="none"/>
        </w:rPr>
      </w:pPr>
      <w:r>
        <w:rPr>
          <w:rStyle w:val="10"/>
          <w:rFonts w:hint="eastAsia" w:ascii="仿宋_GB2312" w:hAnsi="inherit" w:eastAsia="仿宋_GB2312" w:cs="Segoe UI"/>
          <w:color w:val="auto"/>
          <w:sz w:val="32"/>
          <w:szCs w:val="32"/>
          <w:highlight w:val="none"/>
        </w:rPr>
        <w:t>第三条</w:t>
      </w:r>
      <w:r>
        <w:rPr>
          <w:rStyle w:val="10"/>
          <w:rFonts w:ascii="inherit" w:hAnsi="inherit" w:cs="Segoe UI"/>
          <w:color w:val="auto"/>
          <w:sz w:val="32"/>
          <w:szCs w:val="32"/>
          <w:highlight w:val="none"/>
        </w:rPr>
        <w:t> </w:t>
      </w:r>
      <w:r>
        <w:rPr>
          <w:rFonts w:hint="eastAsia" w:ascii="仿宋_GB2312" w:hAnsi="Segoe UI" w:eastAsia="仿宋_GB2312" w:cs="Segoe UI"/>
          <w:color w:val="auto"/>
          <w:sz w:val="32"/>
          <w:szCs w:val="32"/>
          <w:highlight w:val="none"/>
        </w:rPr>
        <w:t>学院对学生的奖励坚持精神奖励和物质奖励相结合，以精神奖励为主。</w:t>
      </w:r>
    </w:p>
    <w:p>
      <w:pPr>
        <w:pStyle w:val="6"/>
        <w:spacing w:before="0" w:beforeAutospacing="0" w:after="0" w:afterAutospacing="0" w:line="480" w:lineRule="atLeast"/>
        <w:ind w:firstLine="645"/>
        <w:jc w:val="both"/>
        <w:rPr>
          <w:rFonts w:ascii="Segoe UI" w:hAnsi="Segoe UI" w:cs="Segoe UI"/>
          <w:color w:val="auto"/>
          <w:sz w:val="32"/>
          <w:szCs w:val="32"/>
          <w:highlight w:val="none"/>
        </w:rPr>
      </w:pPr>
      <w:r>
        <w:rPr>
          <w:rStyle w:val="10"/>
          <w:rFonts w:hint="eastAsia" w:ascii="仿宋_GB2312" w:hAnsi="inherit" w:eastAsia="仿宋_GB2312" w:cs="Segoe UI"/>
          <w:color w:val="auto"/>
          <w:sz w:val="32"/>
          <w:szCs w:val="32"/>
          <w:highlight w:val="none"/>
        </w:rPr>
        <w:t>第四条</w:t>
      </w:r>
      <w:r>
        <w:rPr>
          <w:rStyle w:val="10"/>
          <w:rFonts w:ascii="inherit" w:hAnsi="inherit" w:cs="Segoe UI"/>
          <w:color w:val="auto"/>
          <w:sz w:val="32"/>
          <w:szCs w:val="32"/>
          <w:highlight w:val="none"/>
        </w:rPr>
        <w:t> </w:t>
      </w:r>
      <w:r>
        <w:rPr>
          <w:rFonts w:hint="eastAsia" w:ascii="仿宋_GB2312" w:hAnsi="Segoe UI" w:eastAsia="仿宋_GB2312" w:cs="Segoe UI"/>
          <w:color w:val="auto"/>
          <w:sz w:val="32"/>
          <w:szCs w:val="32"/>
          <w:highlight w:val="none"/>
        </w:rPr>
        <w:t>奖学金的评选工作坚持公平、公正、公开和实事求是的原则。奖学金专款专用，同时接受学校审计处、纪委办监察处，上级主管单位的检查和监督。</w:t>
      </w:r>
    </w:p>
    <w:p>
      <w:pPr>
        <w:pStyle w:val="6"/>
        <w:spacing w:before="0" w:beforeAutospacing="0" w:after="0" w:afterAutospacing="0" w:line="480" w:lineRule="atLeast"/>
        <w:ind w:firstLine="645"/>
        <w:jc w:val="both"/>
        <w:rPr>
          <w:rFonts w:ascii="Segoe UI" w:hAnsi="Segoe UI" w:cs="Segoe UI"/>
          <w:color w:val="auto"/>
          <w:sz w:val="21"/>
          <w:szCs w:val="21"/>
          <w:highlight w:val="none"/>
        </w:rPr>
      </w:pPr>
      <w:r>
        <w:rPr>
          <w:rFonts w:ascii="inherit" w:hAnsi="inherit" w:cs="Segoe UI"/>
          <w:color w:val="auto"/>
          <w:sz w:val="21"/>
          <w:szCs w:val="21"/>
          <w:highlight w:val="none"/>
        </w:rPr>
        <w:t> </w:t>
      </w:r>
    </w:p>
    <w:p>
      <w:pPr>
        <w:pStyle w:val="6"/>
        <w:spacing w:before="0" w:beforeAutospacing="0" w:after="0" w:afterAutospacing="0" w:line="480" w:lineRule="atLeast"/>
        <w:ind w:firstLine="645"/>
        <w:jc w:val="center"/>
        <w:rPr>
          <w:rFonts w:ascii="Segoe UI" w:hAnsi="Segoe UI" w:cs="Segoe UI"/>
          <w:color w:val="auto"/>
          <w:sz w:val="21"/>
          <w:szCs w:val="21"/>
          <w:highlight w:val="none"/>
        </w:rPr>
      </w:pPr>
      <w:r>
        <w:rPr>
          <w:rFonts w:hint="eastAsia" w:ascii="黑体" w:hAnsi="黑体" w:eastAsia="黑体" w:cs="Segoe UI"/>
          <w:color w:val="auto"/>
          <w:sz w:val="32"/>
          <w:szCs w:val="32"/>
          <w:highlight w:val="none"/>
        </w:rPr>
        <w:t>第二章</w:t>
      </w:r>
      <w:r>
        <w:rPr>
          <w:rFonts w:ascii="inherit" w:hAnsi="inherit" w:cs="Segoe UI"/>
          <w:color w:val="auto"/>
          <w:sz w:val="32"/>
          <w:szCs w:val="32"/>
          <w:highlight w:val="none"/>
        </w:rPr>
        <w:t>  </w:t>
      </w:r>
      <w:r>
        <w:rPr>
          <w:rFonts w:hint="eastAsia" w:ascii="黑体" w:hAnsi="黑体" w:eastAsia="黑体" w:cs="Segoe UI"/>
          <w:color w:val="auto"/>
          <w:sz w:val="32"/>
          <w:szCs w:val="32"/>
          <w:highlight w:val="none"/>
        </w:rPr>
        <w:t>评审机构和职责</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第五条 </w:t>
      </w:r>
      <w:r>
        <w:rPr>
          <w:rStyle w:val="10"/>
          <w:rFonts w:hint="eastAsia" w:ascii="仿宋" w:hAnsi="仿宋" w:eastAsia="仿宋" w:cs="仿宋"/>
          <w:b w:val="0"/>
          <w:bCs w:val="0"/>
          <w:color w:val="auto"/>
          <w:sz w:val="32"/>
          <w:szCs w:val="32"/>
          <w:highlight w:val="none"/>
        </w:rPr>
        <w:t>学</w:t>
      </w:r>
      <w:r>
        <w:rPr>
          <w:rFonts w:hint="eastAsia" w:ascii="仿宋" w:hAnsi="仿宋" w:eastAsia="仿宋" w:cs="仿宋"/>
          <w:color w:val="auto"/>
          <w:sz w:val="32"/>
          <w:szCs w:val="32"/>
          <w:highlight w:val="none"/>
        </w:rPr>
        <w:t>院学生工作部（学工部）负责发布各类奖学金的评选通知，组织各年级、各班级进行申报，负责整理、汇总各类奖学金的申报材料，上报学院学生资助评审工作小组进行推荐和评审，并公示结果。公示结束后，负责对外报送学院推荐参评学生名单和材料。</w:t>
      </w:r>
    </w:p>
    <w:p>
      <w:pPr>
        <w:pStyle w:val="6"/>
        <w:spacing w:before="0" w:beforeAutospacing="0" w:after="0" w:afterAutospacing="0" w:line="480" w:lineRule="atLeast"/>
        <w:ind w:firstLine="645"/>
        <w:rPr>
          <w:rStyle w:val="10"/>
          <w:rFonts w:hint="eastAsia" w:ascii="仿宋" w:hAnsi="仿宋" w:eastAsia="仿宋" w:cs="仿宋"/>
          <w:b w:val="0"/>
          <w:bCs w:val="0"/>
          <w:color w:val="auto"/>
          <w:sz w:val="32"/>
          <w:szCs w:val="32"/>
          <w:highlight w:val="none"/>
        </w:rPr>
      </w:pPr>
      <w:r>
        <w:rPr>
          <w:rStyle w:val="10"/>
          <w:rFonts w:hint="eastAsia" w:ascii="仿宋" w:hAnsi="仿宋" w:eastAsia="仿宋" w:cs="仿宋"/>
          <w:color w:val="auto"/>
          <w:sz w:val="32"/>
          <w:szCs w:val="32"/>
          <w:highlight w:val="none"/>
        </w:rPr>
        <w:t>第六条 </w:t>
      </w:r>
      <w:r>
        <w:rPr>
          <w:rStyle w:val="10"/>
          <w:rFonts w:hint="eastAsia" w:ascii="仿宋" w:hAnsi="仿宋" w:eastAsia="仿宋" w:cs="仿宋"/>
          <w:b w:val="0"/>
          <w:bCs w:val="0"/>
          <w:color w:val="auto"/>
          <w:sz w:val="32"/>
          <w:szCs w:val="32"/>
          <w:highlight w:val="none"/>
        </w:rPr>
        <w:t>学院成立学生资助评审工作小组，负责学院奖学金的推荐、评审等工</w:t>
      </w:r>
      <w:r>
        <w:rPr>
          <w:rStyle w:val="10"/>
          <w:rFonts w:hint="eastAsia" w:ascii="仿宋" w:hAnsi="仿宋" w:eastAsia="仿宋" w:cs="仿宋"/>
          <w:b w:val="0"/>
          <w:bCs w:val="0"/>
          <w:color w:val="auto"/>
          <w:sz w:val="32"/>
          <w:szCs w:val="32"/>
          <w:highlight w:val="none"/>
        </w:rPr>
        <w:t>作。学院学生资助评审工作小组成员应包括：学院主管学生工作的学院领导、主管教学工作的学院领导、辅导员、班主任代表和学生代表等。</w:t>
      </w:r>
    </w:p>
    <w:p>
      <w:pPr>
        <w:pStyle w:val="6"/>
        <w:spacing w:before="0" w:beforeAutospacing="0" w:after="0" w:afterAutospacing="0" w:line="480" w:lineRule="atLeast"/>
        <w:ind w:firstLine="645"/>
        <w:rPr>
          <w:rStyle w:val="10"/>
          <w:rFonts w:hint="eastAsia" w:ascii="仿宋" w:hAnsi="仿宋" w:eastAsia="仿宋" w:cs="仿宋"/>
          <w:b w:val="0"/>
          <w:bCs w:val="0"/>
          <w:color w:val="auto"/>
          <w:sz w:val="32"/>
          <w:szCs w:val="32"/>
          <w:highlight w:val="none"/>
        </w:rPr>
      </w:pPr>
    </w:p>
    <w:p>
      <w:pPr>
        <w:pStyle w:val="6"/>
        <w:spacing w:before="0" w:beforeAutospacing="0" w:after="0" w:afterAutospacing="0" w:line="480" w:lineRule="atLeast"/>
        <w:ind w:firstLine="645"/>
        <w:jc w:val="center"/>
        <w:rPr>
          <w:rFonts w:ascii="Segoe UI" w:hAnsi="Segoe UI" w:cs="Segoe UI"/>
          <w:color w:val="auto"/>
          <w:sz w:val="32"/>
          <w:szCs w:val="32"/>
          <w:highlight w:val="none"/>
        </w:rPr>
      </w:pPr>
      <w:r>
        <w:rPr>
          <w:rFonts w:hint="eastAsia" w:ascii="黑体" w:hAnsi="黑体" w:eastAsia="黑体" w:cs="Segoe UI"/>
          <w:color w:val="auto"/>
          <w:sz w:val="32"/>
          <w:szCs w:val="32"/>
          <w:highlight w:val="none"/>
        </w:rPr>
        <w:t>第三章</w:t>
      </w:r>
      <w:r>
        <w:rPr>
          <w:rFonts w:ascii="inherit" w:hAnsi="inherit" w:cs="Segoe UI"/>
          <w:color w:val="auto"/>
          <w:sz w:val="32"/>
          <w:szCs w:val="32"/>
          <w:highlight w:val="none"/>
        </w:rPr>
        <w:t>  </w:t>
      </w:r>
      <w:r>
        <w:rPr>
          <w:rFonts w:hint="eastAsia" w:ascii="黑体" w:hAnsi="黑体" w:eastAsia="黑体" w:cs="Segoe UI"/>
          <w:color w:val="auto"/>
          <w:sz w:val="32"/>
          <w:szCs w:val="32"/>
          <w:highlight w:val="none"/>
        </w:rPr>
        <w:t>奖学金设置和评选标准</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第七条 </w:t>
      </w:r>
      <w:r>
        <w:rPr>
          <w:rStyle w:val="10"/>
          <w:rFonts w:hint="eastAsia" w:ascii="仿宋" w:hAnsi="仿宋" w:eastAsia="仿宋" w:cs="仿宋"/>
          <w:b w:val="0"/>
          <w:color w:val="auto"/>
          <w:sz w:val="32"/>
          <w:szCs w:val="32"/>
          <w:highlight w:val="none"/>
        </w:rPr>
        <w:t>化学学院</w:t>
      </w:r>
      <w:r>
        <w:rPr>
          <w:rFonts w:hint="eastAsia" w:ascii="仿宋" w:hAnsi="仿宋" w:eastAsia="仿宋" w:cs="仿宋"/>
          <w:color w:val="auto"/>
          <w:sz w:val="32"/>
          <w:szCs w:val="32"/>
          <w:highlight w:val="none"/>
        </w:rPr>
        <w:t>本科生奖学金项目包括：</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（一）国家（政府）设立的奖励项目</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1．国家奖学金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2．国家励志奖学金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3．教育部台湾、港澳及华侨学生奖学金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（二）学校设立的奖励项目</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1．中山大学优秀学生奖学金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2．中山大学台湾、港澳及华侨学生奖学金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3．中山大学专项奖学金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4．中山大学励志奖学金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5．中山大学英才奖学金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（三）捐赠奖学金：包括校级和院系级捐赠奖学金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第八条 </w:t>
      </w:r>
      <w:r>
        <w:rPr>
          <w:rFonts w:hint="eastAsia" w:ascii="仿宋" w:hAnsi="仿宋" w:eastAsia="仿宋" w:cs="仿宋"/>
          <w:color w:val="auto"/>
          <w:sz w:val="32"/>
          <w:szCs w:val="32"/>
          <w:highlight w:val="none"/>
        </w:rPr>
        <w:t>学生申请参评奖学金应满足以下条件：</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（一）德：遵守宪法和法律，热爱社会主义中国，拥护中国共产党的领导；尊师爱校，遵守学校规章制度，无损害学校声誉的言行；孝敬父母，诚实守信，遵守社会公德。</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（二）智：刻苦学习，勇于探索，积极实践，努力掌握现代科学文化知识和专业技能，评选年度内无不及格科目。</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（三）体：积极锻炼身体，身心健康，学生体质健康测试合格。</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（四）美：自觉提高审美能力和人文素养，积极传承和弘扬中华美学。</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（五）劳：积极参加学校、学院、班级、宿舍等集体活动，积极参加劳动实践和志愿服务。</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（六）实验室安全：每学年必须通过学院实验室安全准入考核，按要求完成实验室安全教育与培训内容，没有出现实验室安全责任事故。</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（七）其他：评奖年度未受学校通报批评或违纪处分。评奖年度受处分且下一年度解除处分的，只影响本年度评奖，不影响下一年度评奖。</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除上述条件外，申请各类奖学金还需符合该项奖学金的特定条件。</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第九条 </w:t>
      </w:r>
      <w:r>
        <w:rPr>
          <w:rFonts w:hint="eastAsia" w:ascii="仿宋" w:hAnsi="仿宋" w:eastAsia="仿宋" w:cs="仿宋"/>
          <w:color w:val="auto"/>
          <w:sz w:val="32"/>
          <w:szCs w:val="32"/>
          <w:highlight w:val="none"/>
        </w:rPr>
        <w:t>国家奖学金由中央政府出资设立，用于奖励特别优秀的中国学生，参评条件如下：</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（一）具有中华人民共和国国籍；</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（二）热爱社会主义祖国，拥护中国共产党的领导；</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（三）遵守宪法和法律，遵守学校规章制度；</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（四）诚实守信，道德品质优良；</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（五）在校期间学习成绩优异，社会实践、创新能力、 综合素质等方面特别突出。</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（六）学习成绩优异，成绩排名和综合测评排名均在前10%（包括10%），同时获评当年度校优秀学生一等奖学金。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以上排名，大一、大二年度的评审以年级为单位，大三年度的评审以专业为单位。各年级具体推荐名额、名单由学院学生资助评审工作小组讨论后决定。</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第十条 </w:t>
      </w:r>
      <w:r>
        <w:rPr>
          <w:rFonts w:hint="eastAsia" w:ascii="仿宋" w:hAnsi="仿宋" w:eastAsia="仿宋" w:cs="仿宋"/>
          <w:color w:val="auto"/>
          <w:sz w:val="32"/>
          <w:szCs w:val="32"/>
          <w:highlight w:val="none"/>
        </w:rPr>
        <w:t>国家励志奖学金由中央政府出资设立，用于奖励品学兼优的家庭经济困难学生，参评条件如下：</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具有中华人民共和国国籍；</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热爱社会主义祖国，拥护中国共产党的领导；</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遵守宪法和法律，遵守学校规章制度；</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诚实守信，道德品质优良；</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学习成绩优秀，综合测评排名在前50%；</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学校认定为家庭经济困难的学生，生活俭朴。</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第十一条 </w:t>
      </w:r>
      <w:r>
        <w:rPr>
          <w:rFonts w:hint="eastAsia" w:ascii="仿宋" w:hAnsi="仿宋" w:eastAsia="仿宋" w:cs="仿宋"/>
          <w:color w:val="auto"/>
          <w:sz w:val="32"/>
          <w:szCs w:val="32"/>
          <w:highlight w:val="none"/>
        </w:rPr>
        <w:t>教育部港澳及华侨学生奖学金由中央政府出资设立，中山大学港澳及华侨学生奖学金由学校出资设立，用于激励港澳及华侨学生勤奋学习、积极进取，增强他们的爱国观念和对祖国的认同感。参评条件如下：</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（一）在校全日制香港、澳门、华侨本科学生；</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（二）热爱祖国，拥护“一国两制”方针； </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（三）自觉遵守国家法律、法规，遵守学校各项规章制度；</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（四）诚实守信，有良好的道德修养；</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（五）在校期间勤奋刻苦，综合测评成绩在满足参评奖学金条件的港澳及华侨学生中排名前50%（包括50%）或入学考试成绩优秀。</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第十二条 </w:t>
      </w:r>
      <w:r>
        <w:rPr>
          <w:rFonts w:hint="eastAsia" w:ascii="仿宋" w:hAnsi="仿宋" w:eastAsia="仿宋" w:cs="仿宋"/>
          <w:color w:val="auto"/>
          <w:sz w:val="32"/>
          <w:szCs w:val="32"/>
          <w:highlight w:val="none"/>
        </w:rPr>
        <w:t>教育部台湾学生奖学金由中央政府出资设立，中山大学台湾学生奖学金由学校出资设立，用于激励台湾学生勤奋学习、积极进取，增强他们的爱国观念和对祖国的认同感。参评条件如下：</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（一）在校全日制台湾本科学生；</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（二）认同一个中国，拥护祖国统一；</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（三）自觉遵守国家法律、法规，遵守学校各项规章制度；</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（四）诚实守信，有良好的道德修养；</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（五）在校期间勤奋刻苦，综合测评成绩在满足参评奖学金条件的台湾学生中排名前50%（包括50%）或入学考试成绩优秀。</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第十三条 </w:t>
      </w:r>
      <w:r>
        <w:rPr>
          <w:rFonts w:hint="eastAsia" w:ascii="仿宋" w:hAnsi="仿宋" w:eastAsia="仿宋" w:cs="仿宋"/>
          <w:color w:val="auto"/>
          <w:sz w:val="32"/>
          <w:szCs w:val="32"/>
          <w:highlight w:val="none"/>
        </w:rPr>
        <w:t>中山大学优秀学生奖学金由学校出资设立，设一等奖、二等奖、三等奖，用于奖励德、智、体、美全面发展，品学兼优的本科生。参评条件如下：</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（一）综合测评成绩排名前8%的学生，具备优秀学生一等奖学金申请资格（按以上比例计算获奖人数，获奖人数不足1人的按1人推荐，下同）；</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（二）综合测评总成绩排名前20%的学生，具备优秀学生二等奖学金评选资格；</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（三）综合测评总成绩排名前50%的学生，具备优秀学生三等奖学金评选资格。</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上排名，大一、大二年度评审按年级为单位，大三年度按专业为单位进行排名。各等级名额由学院参评总人数确定，各年级具体名额由学院学生资助评审工作小组讨论后决定，各等级总名额不超过学校下达的总数。</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第十四条 </w:t>
      </w:r>
      <w:r>
        <w:rPr>
          <w:rFonts w:hint="eastAsia" w:ascii="仿宋" w:hAnsi="仿宋" w:eastAsia="仿宋" w:cs="仿宋"/>
          <w:color w:val="auto"/>
          <w:sz w:val="32"/>
          <w:szCs w:val="32"/>
          <w:highlight w:val="none"/>
        </w:rPr>
        <w:t>中山大学专项奖学金由学校出资设立，由学院自主设立奖励方向、奖项名称和获奖条件，结合我院人才培养目标和学科特色，我院设立学术创新奖、道德风尚奖、学科竞赛奖、文体艺术奖和学业进步奖。</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（一）</w:t>
      </w:r>
      <w:r>
        <w:rPr>
          <w:rFonts w:hint="eastAsia" w:ascii="仿宋" w:hAnsi="仿宋" w:eastAsia="仿宋" w:cs="仿宋"/>
          <w:color w:val="auto"/>
          <w:sz w:val="32"/>
          <w:szCs w:val="32"/>
          <w:highlight w:val="none"/>
        </w:rPr>
        <w:t>学术创新奖用于</w:t>
      </w:r>
      <w:r>
        <w:rPr>
          <w:rFonts w:hint="eastAsia" w:ascii="仿宋" w:hAnsi="仿宋" w:eastAsia="仿宋" w:cs="仿宋"/>
          <w:color w:val="auto"/>
          <w:sz w:val="32"/>
          <w:szCs w:val="32"/>
          <w:highlight w:val="none"/>
        </w:rPr>
        <w:t>奖励在学术研究、科技活动或者创新方面表现突出的本科生，参评条件如下：</w:t>
      </w:r>
    </w:p>
    <w:p>
      <w:pPr>
        <w:pStyle w:val="6"/>
        <w:spacing w:before="0" w:beforeAutospacing="0" w:after="0" w:afterAutospacing="0" w:line="480" w:lineRule="atLeast"/>
        <w:ind w:firstLine="645"/>
        <w:jc w:val="both"/>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1.需满足以下条件之一：</w:t>
      </w:r>
    </w:p>
    <w:p>
      <w:pPr>
        <w:pStyle w:val="6"/>
        <w:spacing w:before="0" w:beforeAutospacing="0" w:after="0" w:afterAutospacing="0" w:line="480" w:lineRule="atLeast"/>
        <w:ind w:firstLine="645"/>
        <w:jc w:val="both"/>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①学术论文：以中山大学为第一署名单位在国内外公开出版的学术刊物上发表（含正式录用），或作为正式代表参加高水平学术会议并有论文被会议论文集全文收录，或论文摘要被大会论文集收录，或受邀在高水平学术会议上做报告；</w:t>
      </w:r>
    </w:p>
    <w:p>
      <w:pPr>
        <w:pStyle w:val="6"/>
        <w:spacing w:before="0" w:beforeAutospacing="0" w:after="0" w:afterAutospacing="0" w:line="480" w:lineRule="atLeast"/>
        <w:ind w:firstLine="645"/>
        <w:jc w:val="both"/>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②学术著作：参与撰写、编写或翻译学术著作；</w:t>
      </w:r>
    </w:p>
    <w:p>
      <w:pPr>
        <w:pStyle w:val="6"/>
        <w:spacing w:before="0" w:beforeAutospacing="0" w:after="0" w:afterAutospacing="0" w:line="480" w:lineRule="atLeast"/>
        <w:ind w:firstLine="645"/>
        <w:jc w:val="both"/>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③产生重要影响的决策研究成果：参加决策咨询、服务社会和文化传播等方面重要活动的学术报告，并有突出成效，有被政府部门或者学校采纳的调查报告、咨询建议及内部参考等成果；</w:t>
      </w:r>
    </w:p>
    <w:p>
      <w:pPr>
        <w:pStyle w:val="6"/>
        <w:spacing w:before="0" w:beforeAutospacing="0" w:after="0" w:afterAutospacing="0" w:line="480" w:lineRule="atLeast"/>
        <w:ind w:firstLine="645"/>
        <w:jc w:val="both"/>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④参加业余科研：参与省级及以上大学生创新科研训练项目，且作为项目负责人，评审年度内结题。</w:t>
      </w:r>
    </w:p>
    <w:p>
      <w:pPr>
        <w:pStyle w:val="6"/>
        <w:spacing w:before="0" w:beforeAutospacing="0" w:after="0" w:afterAutospacing="0" w:line="480" w:lineRule="atLeast"/>
        <w:ind w:firstLine="645"/>
        <w:jc w:val="both"/>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 满足我院评选奖学金的其他条件。</w:t>
      </w:r>
    </w:p>
    <w:p>
      <w:pPr>
        <w:pStyle w:val="6"/>
        <w:spacing w:before="0" w:beforeAutospacing="0" w:after="0" w:afterAutospacing="0" w:line="480" w:lineRule="atLeast"/>
        <w:ind w:firstLine="645"/>
        <w:jc w:val="both"/>
        <w:textAlignment w:val="center"/>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rPr>
        <w:t>道德风尚奖用于奖励道德品行表现突出的本科生，参评条件如下：</w:t>
      </w:r>
    </w:p>
    <w:p>
      <w:pPr>
        <w:pStyle w:val="6"/>
        <w:spacing w:before="0" w:beforeAutospacing="0" w:after="0" w:afterAutospacing="0" w:line="480" w:lineRule="atLeast"/>
        <w:ind w:firstLine="645"/>
        <w:jc w:val="both"/>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1.需满足以下条件之一：</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①自觉践行社会主义核心价值观，有突出事迹，在学生中起到示范或模范带头作用或在社会上产生积极影响；</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②在助人为乐、见义勇为、诚实守信、孝老爱亲等方面有突出事迹，在学生中起到示范或模范带头作用或在社会上产生积极影响；</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③参加重大活动的志愿服务或者长期从事志愿服务，在学生中起到示范或模范带头作用或在社会上产生积极影响。</w:t>
      </w:r>
    </w:p>
    <w:p>
      <w:pPr>
        <w:pStyle w:val="6"/>
        <w:spacing w:before="0" w:beforeAutospacing="0" w:after="0" w:afterAutospacing="0" w:line="480" w:lineRule="atLeast"/>
        <w:ind w:firstLine="645"/>
        <w:jc w:val="both"/>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 满足我院评选奖学金的其他条件。</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rPr>
        <w:t>学科竞赛奖</w:t>
      </w:r>
      <w:r>
        <w:rPr>
          <w:rFonts w:hint="eastAsia" w:ascii="仿宋" w:hAnsi="仿宋" w:eastAsia="仿宋" w:cs="仿宋"/>
          <w:color w:val="auto"/>
          <w:sz w:val="32"/>
          <w:szCs w:val="32"/>
          <w:highlight w:val="none"/>
        </w:rPr>
        <w:t>用于奖励参加学科竞赛取得突出成绩的本科生，参评条件如下：</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1.需满足以下条件之一：</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①获得国际重大学科竞赛、创新创业竞赛三等奖及以上奖项的个人或者团队主要成员；</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②获得国家级化学学科竞赛、创新创业竞赛二等奖及以上奖项的个人或者团队主要成员；</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③获得省部级重要科技奖项一等奖的个人或团队主要成员。</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以上提到的“主要成员”为个人排名前</w:t>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t>名。</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2.满足我院评选奖学金的其他条件。</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rPr>
        <w:t>文体艺术奖用于奖励在文体艺术方面有突出成绩的本科生，参评条件如下：</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1.需满足以下条件之一：</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①参加体育类竞赛：国家级体育赛事单项前三名或集体项目前八名的主力队员；省级体育赛事单项冠军或集体项目前三名的主力队员；</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②参加文化艺术类竞赛（包括音乐、舞蹈、戏剧、曲艺、书画、摄影）：国家部委举办的国家级文化艺术类竞赛获得三等奖及以上的个人或者团队主要成员，或者省教育厅、团省委等举办的省级文化艺术类竞赛获得二等奖及以上的个人或者团队主要成员。</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文艺、体育特长生不得以特长项目的成绩申请参评本项奖学金。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 满足我院评选奖学金的其他条件。</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（五）学业进步奖用于鼓励在学习上进步较大的本科生，参评条件如下：</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 参评年度在学习上进步较大，相比上一学年度，必专绩点进步了0.3及以上，或必专成绩的班级排名比进步了20%及以上；</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 参评年度未获得其他奖学金。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 满足我院评选奖学金的其他条件</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第十五条 </w:t>
      </w:r>
      <w:r>
        <w:rPr>
          <w:rFonts w:hint="eastAsia" w:ascii="仿宋" w:hAnsi="仿宋" w:eastAsia="仿宋" w:cs="仿宋"/>
          <w:color w:val="auto"/>
          <w:sz w:val="32"/>
          <w:szCs w:val="32"/>
          <w:highlight w:val="none"/>
        </w:rPr>
        <w:t>中山大学励志奖学金由学校出资设立，设一等奖、二等奖，用于奖励品学兼优的家庭经济困难学生。参评条件如下：</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（一）学校认定为家庭经济困难的学生；</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（二）学习成绩优良，综合测评排名在前50%。其中，综合测评排名前25%（包括25%）的学生可以申请一等奖，综合测评排名25%-50%（包括50%）的学生可以申请二等奖；</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（三）勤俭节约，生活简朴。</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第十六条 </w:t>
      </w:r>
      <w:r>
        <w:rPr>
          <w:rFonts w:hint="eastAsia" w:ascii="仿宋" w:hAnsi="仿宋" w:eastAsia="仿宋" w:cs="仿宋"/>
          <w:color w:val="auto"/>
          <w:sz w:val="32"/>
          <w:szCs w:val="32"/>
          <w:highlight w:val="none"/>
        </w:rPr>
        <w:t>中山大学英才奖学金由学校出资设立。符合以下条件之一的学生可参评：</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（一）在校级捐赠奖学金差额评选中落选，且错过其他捐赠奖学金（包括院系级捐赠奖学金）评选的；</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（二）推荐参评的捐赠奖学金项目，因捐赠方原因使捐赠合同无法履行而不能获得该项捐赠奖学金，且错过其他捐赠奖学金（包括院系级捐赠奖学金）评选的。</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第十七条 </w:t>
      </w:r>
      <w:r>
        <w:rPr>
          <w:rFonts w:hint="eastAsia" w:ascii="仿宋" w:hAnsi="仿宋" w:eastAsia="仿宋" w:cs="仿宋"/>
          <w:color w:val="auto"/>
          <w:sz w:val="32"/>
          <w:szCs w:val="32"/>
          <w:highlight w:val="none"/>
        </w:rPr>
        <w:t>捐赠奖学金由捐赠单位或者个人出资设立并命名，用于奖励品学兼优并满足捐赠奖学金设立条件的本科生。参评条件如下：</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（一）推荐获得中山大学优秀学生奖学金；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（二）符合捐赠方提出的其他要求。</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第十八条 </w:t>
      </w:r>
      <w:r>
        <w:rPr>
          <w:rFonts w:hint="eastAsia" w:ascii="仿宋" w:hAnsi="仿宋" w:eastAsia="仿宋" w:cs="仿宋"/>
          <w:color w:val="auto"/>
          <w:sz w:val="32"/>
          <w:szCs w:val="32"/>
          <w:highlight w:val="none"/>
        </w:rPr>
        <w:t>学籍在我校的交换生因接受交换学校的原因未能在9月奖学金评选前完成全部学分转换，且满足下列条件的，可参评面向交换生的优秀学生奖学金：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（一）申请参评时，已完成全部交换学习学分的转换；</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（二）遵守交换学校的各项规章制度。</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第十九条 </w:t>
      </w:r>
      <w:r>
        <w:rPr>
          <w:rFonts w:hint="eastAsia" w:ascii="仿宋" w:hAnsi="仿宋" w:eastAsia="仿宋" w:cs="仿宋"/>
          <w:color w:val="auto"/>
          <w:sz w:val="32"/>
          <w:szCs w:val="32"/>
          <w:highlight w:val="none"/>
        </w:rPr>
        <w:t>特殊情况处理原则：</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（一）国家奖学金、国家励志奖学金不可兼得；</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（二）每位学生最多只能获评一项校级捐赠奖学金；</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（三）国家设置的奖学金和中山大学励志奖学金不可兼得；</w:t>
      </w:r>
    </w:p>
    <w:p>
      <w:pPr>
        <w:pStyle w:val="6"/>
        <w:spacing w:before="0" w:beforeAutospacing="0" w:after="0" w:afterAutospacing="0" w:line="480" w:lineRule="atLeast"/>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（四）捐赠奖学金和中山大学励志奖学金不可兼得；</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（五）获得中山大学优秀学生奖学金或中山大学励志奖学金的学生，如同时获评专项奖学金，可兼得荣誉，奖励金按单项最高金额发放。</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第二十条 </w:t>
      </w:r>
      <w:r>
        <w:rPr>
          <w:rFonts w:hint="eastAsia" w:ascii="仿宋" w:hAnsi="仿宋" w:eastAsia="仿宋" w:cs="仿宋"/>
          <w:color w:val="auto"/>
          <w:sz w:val="32"/>
          <w:szCs w:val="32"/>
          <w:highlight w:val="none"/>
        </w:rPr>
        <w:t>转专业的学生应在原专业申请参评当年奖学金。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第二十一条 </w:t>
      </w:r>
      <w:r>
        <w:rPr>
          <w:rFonts w:hint="eastAsia" w:ascii="仿宋" w:hAnsi="仿宋" w:eastAsia="仿宋" w:cs="仿宋"/>
          <w:color w:val="auto"/>
          <w:sz w:val="32"/>
          <w:szCs w:val="32"/>
          <w:highlight w:val="none"/>
        </w:rPr>
        <w:t>交换生不能以一个学期的学分参评奖学金。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第二十二条 </w:t>
      </w:r>
      <w:r>
        <w:rPr>
          <w:rFonts w:hint="eastAsia" w:ascii="仿宋" w:hAnsi="仿宋" w:eastAsia="仿宋" w:cs="仿宋"/>
          <w:color w:val="auto"/>
          <w:sz w:val="32"/>
          <w:szCs w:val="32"/>
          <w:highlight w:val="none"/>
        </w:rPr>
        <w:t>国际留学生仅能参评由学校出资设立的中山大学优秀学生奖学金及中山大学专项奖学金。</w:t>
      </w:r>
    </w:p>
    <w:p>
      <w:pPr>
        <w:pStyle w:val="6"/>
        <w:spacing w:before="0" w:beforeAutospacing="0" w:after="0" w:afterAutospacing="0" w:line="480" w:lineRule="atLeast"/>
        <w:ind w:firstLine="645"/>
        <w:jc w:val="both"/>
        <w:rPr>
          <w:rFonts w:ascii="Segoe UI" w:hAnsi="Segoe UI" w:cs="Segoe UI"/>
          <w:color w:val="auto"/>
          <w:sz w:val="21"/>
          <w:szCs w:val="21"/>
          <w:highlight w:val="none"/>
        </w:rPr>
      </w:pPr>
      <w:r>
        <w:rPr>
          <w:rFonts w:ascii="inherit" w:hAnsi="inherit" w:cs="Segoe UI"/>
          <w:color w:val="auto"/>
          <w:sz w:val="21"/>
          <w:szCs w:val="21"/>
          <w:highlight w:val="none"/>
        </w:rPr>
        <w:t> </w:t>
      </w:r>
    </w:p>
    <w:p>
      <w:pPr>
        <w:pStyle w:val="6"/>
        <w:spacing w:before="0" w:beforeAutospacing="0" w:after="0" w:afterAutospacing="0" w:line="480" w:lineRule="atLeast"/>
        <w:ind w:firstLine="645"/>
        <w:jc w:val="center"/>
        <w:rPr>
          <w:rFonts w:ascii="Segoe UI" w:hAnsi="Segoe UI" w:cs="Segoe UI"/>
          <w:color w:val="auto"/>
          <w:sz w:val="21"/>
          <w:szCs w:val="21"/>
          <w:highlight w:val="none"/>
        </w:rPr>
      </w:pPr>
      <w:r>
        <w:rPr>
          <w:rFonts w:hint="eastAsia" w:ascii="黑体" w:hAnsi="黑体" w:eastAsia="黑体" w:cs="Segoe UI"/>
          <w:color w:val="auto"/>
          <w:sz w:val="32"/>
          <w:szCs w:val="32"/>
          <w:highlight w:val="none"/>
        </w:rPr>
        <w:t>第四章</w:t>
      </w:r>
      <w:r>
        <w:rPr>
          <w:rFonts w:ascii="inherit" w:hAnsi="inherit" w:cs="Segoe UI"/>
          <w:color w:val="auto"/>
          <w:sz w:val="32"/>
          <w:szCs w:val="32"/>
          <w:highlight w:val="none"/>
        </w:rPr>
        <w:t>  </w:t>
      </w:r>
      <w:r>
        <w:rPr>
          <w:rFonts w:hint="eastAsia" w:ascii="黑体" w:hAnsi="黑体" w:eastAsia="黑体" w:cs="Segoe UI"/>
          <w:color w:val="auto"/>
          <w:sz w:val="32"/>
          <w:szCs w:val="32"/>
          <w:highlight w:val="none"/>
        </w:rPr>
        <w:t>奖励名额和标准</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第二十三条 </w:t>
      </w:r>
      <w:r>
        <w:rPr>
          <w:rFonts w:hint="eastAsia" w:ascii="仿宋" w:hAnsi="仿宋" w:eastAsia="仿宋" w:cs="仿宋"/>
          <w:color w:val="auto"/>
          <w:sz w:val="32"/>
          <w:szCs w:val="32"/>
          <w:highlight w:val="none"/>
        </w:rPr>
        <w:t>国家奖学金获奖人数和奖励金额均以当年教育部文件为准，由学校党委学生工作部（学生处）按照学院（系）参评奖学金本科生总人数的比例分配到各学院（系），学院学生资助评审工作小组按照相同原则确定各年级/专业的获奖人数。</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第二十四条 </w:t>
      </w:r>
      <w:r>
        <w:rPr>
          <w:rFonts w:hint="eastAsia" w:ascii="仿宋" w:hAnsi="仿宋" w:eastAsia="仿宋" w:cs="仿宋"/>
          <w:color w:val="auto"/>
          <w:sz w:val="32"/>
          <w:szCs w:val="32"/>
          <w:highlight w:val="none"/>
        </w:rPr>
        <w:t>中山大学优秀学生奖学金名额根据各年级参评奖学金本科生人数按比例分配。原则上，年级获得优秀学生奖学金的学生人数不超过本年级参评奖学金本科生总人数的30%，其中一等不超过5%，二等不超过10%，三等不超过15%。</w:t>
      </w:r>
      <w:r>
        <w:rPr>
          <w:rFonts w:hint="eastAsia" w:ascii="仿宋" w:hAnsi="仿宋" w:eastAsia="仿宋" w:cs="仿宋"/>
          <w:color w:val="auto"/>
          <w:sz w:val="32"/>
          <w:szCs w:val="32"/>
          <w:highlight w:val="none"/>
        </w:rPr>
        <w:t>以上排名，大一、大二年度的评审以年级为单位，大三年度的评审以专业为单位。</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交换生参评中山大学优秀学生奖学金，依据申请者参评奖学金学年度的综合测评成绩，在</w:t>
      </w:r>
      <w:r>
        <w:rPr>
          <w:rFonts w:hint="eastAsia" w:ascii="仿宋" w:hAnsi="仿宋" w:eastAsia="仿宋" w:cs="仿宋"/>
          <w:color w:val="auto"/>
          <w:sz w:val="32"/>
          <w:szCs w:val="32"/>
          <w:highlight w:val="none"/>
        </w:rPr>
        <w:t>年级</w:t>
      </w:r>
      <w:r>
        <w:rPr>
          <w:rFonts w:hint="eastAsia" w:ascii="仿宋" w:hAnsi="仿宋" w:eastAsia="仿宋" w:cs="仿宋"/>
          <w:color w:val="auto"/>
          <w:sz w:val="32"/>
          <w:szCs w:val="32"/>
          <w:highlight w:val="none"/>
        </w:rPr>
        <w:t>的排名确定其获奖等级。申请参评学生的综合测评成绩等于或者超过</w:t>
      </w:r>
      <w:r>
        <w:rPr>
          <w:rFonts w:hint="eastAsia" w:ascii="仿宋" w:hAnsi="仿宋" w:eastAsia="仿宋" w:cs="仿宋"/>
          <w:color w:val="auto"/>
          <w:sz w:val="32"/>
          <w:szCs w:val="32"/>
          <w:highlight w:val="none"/>
        </w:rPr>
        <w:t>年级</w:t>
      </w:r>
      <w:r>
        <w:rPr>
          <w:rFonts w:hint="eastAsia" w:ascii="仿宋" w:hAnsi="仿宋" w:eastAsia="仿宋" w:cs="仿宋"/>
          <w:color w:val="auto"/>
          <w:sz w:val="32"/>
          <w:szCs w:val="32"/>
          <w:highlight w:val="none"/>
        </w:rPr>
        <w:t>某等级优秀学生奖学金综合测评成绩的最低成绩，可申请获得同等级优秀学生奖学金。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奖励金：一等奖学金4000元人民币/人；二等奖学金3000元人民币/人；三等奖学金2000元人民币/人。</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第二十五条 </w:t>
      </w:r>
      <w:r>
        <w:rPr>
          <w:rStyle w:val="10"/>
          <w:rFonts w:hint="eastAsia" w:ascii="仿宋" w:hAnsi="仿宋" w:eastAsia="仿宋" w:cs="仿宋"/>
          <w:b w:val="0"/>
          <w:bCs w:val="0"/>
          <w:color w:val="auto"/>
          <w:sz w:val="32"/>
          <w:szCs w:val="32"/>
          <w:highlight w:val="none"/>
        </w:rPr>
        <w:t>学院最终向学校推荐</w:t>
      </w:r>
      <w:r>
        <w:rPr>
          <w:rFonts w:hint="eastAsia" w:ascii="仿宋" w:hAnsi="仿宋" w:eastAsia="仿宋" w:cs="仿宋"/>
          <w:color w:val="auto"/>
          <w:sz w:val="32"/>
          <w:szCs w:val="32"/>
          <w:highlight w:val="none"/>
        </w:rPr>
        <w:t>参评中山大学专项奖学金的学生人数不超过学院本科生总人数的10%，其中学术创新奖推荐学生人数不超过参评奖学金学生总人数的3%，道德风尚奖、科技竞赛奖、文体艺术奖推荐学生人数分别不超过2%，学业进步奖推荐学生人数不超过1%（不足1人的，按1人计算）。最终推荐名单由学院学生资助评审工作小组讨论后决定。</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学术创新奖、道德风尚奖、学科竞赛奖、文体艺术奖奖励金额为2000元人民币/人，学业进步奖奖励金额为1000元人民币/人。</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第二十六条 </w:t>
      </w:r>
      <w:r>
        <w:rPr>
          <w:rFonts w:hint="eastAsia" w:ascii="仿宋" w:hAnsi="仿宋" w:eastAsia="仿宋" w:cs="仿宋"/>
          <w:color w:val="auto"/>
          <w:sz w:val="32"/>
          <w:szCs w:val="32"/>
          <w:highlight w:val="none"/>
        </w:rPr>
        <w:t>教育部台湾、港澳及华侨学生奖学金名额以当年教育部文件为准，教育部台湾、港澳及华侨学生奖学金和中山大学台湾、港澳及华侨学生奖学金的获奖学生总人数不超过参评人数的50%。</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教育部台湾、港澳及华侨学生奖学金根据参评学生综合测评成绩在参评单位的排名评定。</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教育部台湾、港澳及华侨学生奖学金奖励金额以当年教育部文件为准。中山大学台湾、港澳侨学生奖学金奖励金为2000元人民币/人。</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第二十七条 </w:t>
      </w:r>
      <w:r>
        <w:rPr>
          <w:rFonts w:hint="eastAsia" w:ascii="仿宋" w:hAnsi="仿宋" w:eastAsia="仿宋" w:cs="仿宋"/>
          <w:color w:val="auto"/>
          <w:sz w:val="32"/>
          <w:szCs w:val="32"/>
          <w:highlight w:val="none"/>
        </w:rPr>
        <w:t>国家励志奖学金名额以当年教育部文件为准。国家励志奖学金和中山大学励志奖学金获奖学生总人数不超过满足参评条件且综合测评排名前50%（包括50%）的家庭经济困难学生人数。</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国家励志奖学金按照年级综合测评排名前50%的家庭经济困难学生人数比例分配名额。</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国家励志奖学金奖励金额以当年教育部文件为准。励志奖学金奖励金：一等奖学金4000元人民币/人；二等奖学金3000元人民币/人。</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第二十八条 </w:t>
      </w:r>
      <w:r>
        <w:rPr>
          <w:rStyle w:val="10"/>
          <w:rFonts w:hint="eastAsia" w:ascii="仿宋" w:hAnsi="仿宋" w:eastAsia="仿宋" w:cs="仿宋"/>
          <w:b w:val="0"/>
          <w:bCs w:val="0"/>
          <w:color w:val="auto"/>
          <w:sz w:val="32"/>
          <w:szCs w:val="32"/>
          <w:highlight w:val="none"/>
        </w:rPr>
        <w:t>校</w:t>
      </w:r>
      <w:r>
        <w:rPr>
          <w:rFonts w:hint="eastAsia" w:ascii="仿宋" w:hAnsi="仿宋" w:eastAsia="仿宋" w:cs="仿宋"/>
          <w:color w:val="auto"/>
          <w:sz w:val="32"/>
          <w:szCs w:val="32"/>
          <w:highlight w:val="none"/>
        </w:rPr>
        <w:t>级捐赠奖学金获奖学生人数和奖励金额由学院学生资助评审工作小组根据学校分配到学院的奖项、名额、奖励金额、捐赠方要求以及各年级实际情况等因素确定具体分配方案。</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院级捐赠奖学金由学院学生资助评审工作小组按照捐赠方要求确定名额分配方案。</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第二十九条 </w:t>
      </w:r>
      <w:r>
        <w:rPr>
          <w:rFonts w:hint="eastAsia" w:ascii="仿宋" w:hAnsi="仿宋" w:eastAsia="仿宋" w:cs="仿宋"/>
          <w:color w:val="auto"/>
          <w:sz w:val="32"/>
          <w:szCs w:val="32"/>
          <w:highlight w:val="none"/>
        </w:rPr>
        <w:t>中山大学英才奖学金奖励金额：</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（一）符合第十六条第一款情形的，捐赠奖学金奖励金额多于或等于3000元人民币/人的，奖励金为3000元人民币/人；捐赠奖学金奖励金额少于3000元人民币/人，按照该捐赠奖学金同等奖励金发放。</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（二）符合第十六条第二款情形的，可获得与捐赠协议相同的奖励金额。</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第三十条 </w:t>
      </w:r>
      <w:r>
        <w:rPr>
          <w:rStyle w:val="10"/>
          <w:rFonts w:hint="eastAsia" w:ascii="仿宋" w:hAnsi="仿宋" w:eastAsia="仿宋" w:cs="仿宋"/>
          <w:b w:val="0"/>
          <w:bCs w:val="0"/>
          <w:color w:val="auto"/>
          <w:sz w:val="32"/>
          <w:szCs w:val="32"/>
          <w:highlight w:val="none"/>
        </w:rPr>
        <w:t>学院将</w:t>
      </w:r>
      <w:r>
        <w:rPr>
          <w:rFonts w:hint="eastAsia" w:ascii="仿宋" w:hAnsi="仿宋" w:eastAsia="仿宋" w:cs="仿宋"/>
          <w:color w:val="auto"/>
          <w:sz w:val="32"/>
          <w:szCs w:val="32"/>
          <w:highlight w:val="none"/>
        </w:rPr>
        <w:t>在每年的9月确认可在当年12月31日前到账的院级捐赠奖学金项目。</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12月31日前到账的捐赠奖学金项目在本学年评选，12月31日后到账的捐赠奖学金项目顺延至下一学年评选。</w:t>
      </w:r>
    </w:p>
    <w:p>
      <w:pPr>
        <w:adjustRightInd w:val="0"/>
        <w:snapToGrid w:val="0"/>
        <w:spacing w:line="540" w:lineRule="atLeast"/>
        <w:ind w:firstLine="803" w:firstLineChars="250"/>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b/>
          <w:color w:val="auto"/>
          <w:kern w:val="0"/>
          <w:sz w:val="32"/>
          <w:szCs w:val="32"/>
          <w:highlight w:val="none"/>
        </w:rPr>
        <w:t xml:space="preserve">第三十一条 </w:t>
      </w:r>
      <w:r>
        <w:rPr>
          <w:rFonts w:hint="eastAsia" w:ascii="Times New Roman" w:hAnsi="Times New Roman" w:eastAsia="仿宋_GB2312" w:cs="Times New Roman"/>
          <w:color w:val="auto"/>
          <w:kern w:val="0"/>
          <w:sz w:val="32"/>
          <w:szCs w:val="32"/>
          <w:highlight w:val="none"/>
        </w:rPr>
        <w:t>学院将按要求，事先向教育发展基金会和学校党委学生工作部报送院级奖学金设立的合作协议和评审规则审批，获奖</w:t>
      </w:r>
      <w:r>
        <w:rPr>
          <w:rFonts w:ascii="Times New Roman" w:hAnsi="Times New Roman" w:eastAsia="仿宋_GB2312" w:cs="Times New Roman"/>
          <w:color w:val="auto"/>
          <w:kern w:val="0"/>
          <w:sz w:val="32"/>
          <w:szCs w:val="32"/>
          <w:highlight w:val="none"/>
        </w:rPr>
        <w:t>名单在评选工作</w:t>
      </w:r>
      <w:r>
        <w:rPr>
          <w:rFonts w:hint="eastAsia" w:ascii="Times New Roman" w:hAnsi="Times New Roman" w:eastAsia="仿宋_GB2312" w:cs="Times New Roman"/>
          <w:color w:val="auto"/>
          <w:kern w:val="0"/>
          <w:sz w:val="32"/>
          <w:szCs w:val="32"/>
          <w:highlight w:val="none"/>
        </w:rPr>
        <w:t>结束后</w:t>
      </w:r>
      <w:r>
        <w:rPr>
          <w:rFonts w:ascii="Times New Roman" w:hAnsi="Times New Roman" w:eastAsia="仿宋_GB2312" w:cs="Times New Roman"/>
          <w:color w:val="auto"/>
          <w:kern w:val="0"/>
          <w:sz w:val="32"/>
          <w:szCs w:val="32"/>
          <w:highlight w:val="none"/>
        </w:rPr>
        <w:t>5个工作日内报</w:t>
      </w:r>
      <w:r>
        <w:rPr>
          <w:rFonts w:hint="eastAsia" w:ascii="Times New Roman" w:hAnsi="Times New Roman" w:eastAsia="仿宋_GB2312" w:cs="Times New Roman"/>
          <w:color w:val="auto"/>
          <w:kern w:val="0"/>
          <w:sz w:val="32"/>
          <w:szCs w:val="32"/>
          <w:highlight w:val="none"/>
        </w:rPr>
        <w:t>学校党委学生工作部</w:t>
      </w:r>
      <w:r>
        <w:rPr>
          <w:rFonts w:ascii="Times New Roman" w:hAnsi="Times New Roman" w:eastAsia="仿宋_GB2312" w:cs="Times New Roman"/>
          <w:color w:val="auto"/>
          <w:kern w:val="0"/>
          <w:sz w:val="32"/>
          <w:szCs w:val="32"/>
          <w:highlight w:val="none"/>
        </w:rPr>
        <w:t>备案</w:t>
      </w:r>
      <w:r>
        <w:rPr>
          <w:rFonts w:hint="eastAsia" w:ascii="Times New Roman" w:hAnsi="Times New Roman" w:eastAsia="仿宋_GB2312" w:cs="Times New Roman"/>
          <w:color w:val="auto"/>
          <w:kern w:val="0"/>
          <w:sz w:val="32"/>
          <w:szCs w:val="32"/>
          <w:highlight w:val="none"/>
        </w:rPr>
        <w:t>。备案包括以下内容：</w:t>
      </w:r>
    </w:p>
    <w:p>
      <w:pPr>
        <w:adjustRightInd w:val="0"/>
        <w:snapToGrid w:val="0"/>
        <w:spacing w:line="540" w:lineRule="atLeast"/>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（一）奖励项目名称；</w:t>
      </w:r>
    </w:p>
    <w:p>
      <w:pPr>
        <w:adjustRightInd w:val="0"/>
        <w:snapToGrid w:val="0"/>
        <w:spacing w:line="540" w:lineRule="atLeast"/>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（二）奖励项目来源；</w:t>
      </w:r>
    </w:p>
    <w:p>
      <w:pPr>
        <w:adjustRightInd w:val="0"/>
        <w:snapToGrid w:val="0"/>
        <w:spacing w:line="540" w:lineRule="atLeast"/>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（三）奖励范围、获奖条件、等级金额及评审办法；</w:t>
      </w:r>
    </w:p>
    <w:p>
      <w:pPr>
        <w:adjustRightInd w:val="0"/>
        <w:snapToGrid w:val="0"/>
        <w:spacing w:line="540" w:lineRule="atLeast"/>
        <w:ind w:firstLine="48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（四）评定和颁奖时间；</w:t>
      </w:r>
    </w:p>
    <w:p>
      <w:pPr>
        <w:adjustRightInd w:val="0"/>
        <w:snapToGrid w:val="0"/>
        <w:spacing w:line="540" w:lineRule="atLeast"/>
        <w:ind w:firstLine="480" w:firstLineChars="15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（五）评选结果。</w:t>
      </w:r>
    </w:p>
    <w:p>
      <w:pPr>
        <w:pStyle w:val="6"/>
        <w:spacing w:before="0" w:beforeAutospacing="0" w:after="0" w:afterAutospacing="0" w:line="480" w:lineRule="atLeast"/>
        <w:ind w:firstLine="645"/>
        <w:jc w:val="both"/>
        <w:rPr>
          <w:rFonts w:ascii="Segoe UI" w:hAnsi="Segoe UI" w:cs="Segoe UI"/>
          <w:color w:val="auto"/>
          <w:sz w:val="21"/>
          <w:szCs w:val="21"/>
          <w:highlight w:val="none"/>
        </w:rPr>
      </w:pPr>
    </w:p>
    <w:p>
      <w:pPr>
        <w:pStyle w:val="6"/>
        <w:spacing w:before="0" w:beforeAutospacing="0" w:after="0" w:afterAutospacing="0" w:line="480" w:lineRule="atLeast"/>
        <w:ind w:firstLine="645"/>
        <w:jc w:val="center"/>
        <w:rPr>
          <w:rFonts w:ascii="Segoe UI" w:hAnsi="Segoe UI" w:cs="Segoe UI"/>
          <w:color w:val="auto"/>
          <w:sz w:val="32"/>
          <w:szCs w:val="32"/>
          <w:highlight w:val="none"/>
        </w:rPr>
      </w:pPr>
      <w:r>
        <w:rPr>
          <w:rFonts w:hint="eastAsia" w:ascii="黑体" w:hAnsi="黑体" w:eastAsia="黑体" w:cs="Segoe UI"/>
          <w:color w:val="auto"/>
          <w:sz w:val="32"/>
          <w:szCs w:val="32"/>
          <w:highlight w:val="none"/>
        </w:rPr>
        <w:t>第五章</w:t>
      </w:r>
      <w:r>
        <w:rPr>
          <w:rFonts w:ascii="inherit" w:hAnsi="inherit" w:cs="Segoe UI"/>
          <w:color w:val="auto"/>
          <w:sz w:val="32"/>
          <w:szCs w:val="32"/>
          <w:highlight w:val="none"/>
        </w:rPr>
        <w:t>  </w:t>
      </w:r>
      <w:r>
        <w:rPr>
          <w:rFonts w:hint="eastAsia" w:ascii="黑体" w:hAnsi="黑体" w:eastAsia="黑体" w:cs="Segoe UI"/>
          <w:color w:val="auto"/>
          <w:sz w:val="32"/>
          <w:szCs w:val="32"/>
          <w:highlight w:val="none"/>
        </w:rPr>
        <w:t>评审程序</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第三十二条 </w:t>
      </w:r>
      <w:r>
        <w:rPr>
          <w:rFonts w:hint="eastAsia" w:ascii="仿宋" w:hAnsi="仿宋" w:eastAsia="仿宋" w:cs="仿宋"/>
          <w:color w:val="auto"/>
          <w:sz w:val="32"/>
          <w:szCs w:val="32"/>
          <w:highlight w:val="none"/>
        </w:rPr>
        <w:t>奖学金的一般评审程序如下：</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（一）学院学生工作部发布评选通知；</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（二）学院组织评审</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1．参评人在规定时间内按要求提交综合测评参评材料。</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2．各班审核综合测评材料并在班上公示。</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3．各年级/专业复核综合测评材料、加分结果并在年级公示。</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4．学院学生资助评审工作小组审核综合测评材料、加分结果。</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5．学院公示由学院学生资助评审工作小组审核通过的综合测评材料、加分结果、综合测评排名。</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6．学院学生资助评审工作小组讨论确定各奖项名额分配方案，确定评审结果。</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（三）学院公示评审结果；</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（四）学院上报评审结果；</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（五）学校党委学生工作部复核学院评审结果；</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（六）学校党委学生工作部组织评审；</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（七）学校党委学生工作部公示评审结果；</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（八）学校党委学生工作部公布评审结果；</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（九）表彰获奖学生，并发放荣誉证书和奖励金。</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第三十三条 </w:t>
      </w:r>
      <w:r>
        <w:rPr>
          <w:rFonts w:hint="eastAsia" w:ascii="仿宋" w:hAnsi="仿宋" w:eastAsia="仿宋" w:cs="仿宋"/>
          <w:color w:val="auto"/>
          <w:sz w:val="32"/>
          <w:szCs w:val="32"/>
          <w:highlight w:val="none"/>
        </w:rPr>
        <w:t>国家级奖学金获奖名单以教育部文件为准，捐赠奖学金获奖名单由捐赠方确定。</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第三十四条 </w:t>
      </w:r>
      <w:r>
        <w:rPr>
          <w:rFonts w:hint="eastAsia" w:ascii="仿宋" w:hAnsi="仿宋" w:eastAsia="仿宋" w:cs="仿宋"/>
          <w:color w:val="auto"/>
          <w:sz w:val="32"/>
          <w:szCs w:val="32"/>
          <w:highlight w:val="none"/>
        </w:rPr>
        <w:t>奖学金评选采用校、院、年级/专业三级公示制度，各级公示时间不少于3个工作日。国家奖学金和国家励志奖学金院级公示时间不少于上级文件要求。</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第三十五条 </w:t>
      </w:r>
      <w:r>
        <w:rPr>
          <w:rFonts w:hint="eastAsia" w:ascii="仿宋" w:hAnsi="仿宋" w:eastAsia="仿宋" w:cs="仿宋"/>
          <w:color w:val="auto"/>
          <w:sz w:val="32"/>
          <w:szCs w:val="32"/>
          <w:highlight w:val="none"/>
        </w:rPr>
        <w:t>学院一般于每年12月召开学院表彰大会，表彰获得院级捐赠奖学金的学生。</w:t>
      </w:r>
    </w:p>
    <w:p>
      <w:pPr>
        <w:pStyle w:val="6"/>
        <w:spacing w:line="480" w:lineRule="atLeast"/>
        <w:ind w:firstLine="645"/>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第三十六条 </w:t>
      </w:r>
      <w:r>
        <w:rPr>
          <w:rFonts w:hint="eastAsia" w:ascii="仿宋" w:hAnsi="仿宋" w:eastAsia="仿宋" w:cs="仿宋"/>
          <w:color w:val="auto"/>
          <w:sz w:val="32"/>
          <w:szCs w:val="32"/>
          <w:highlight w:val="none"/>
        </w:rPr>
        <w:t>在各个公示阶段，学生如有异议，可在公示期内向相应公示机构提出书面实名意见，在收到答复后如仍有异议，可向更高一级评审机</w:t>
      </w:r>
      <w:r>
        <w:rPr>
          <w:rFonts w:hint="eastAsia" w:ascii="仿宋" w:hAnsi="仿宋" w:eastAsia="仿宋" w:cs="仿宋"/>
          <w:color w:val="auto"/>
          <w:sz w:val="32"/>
          <w:szCs w:val="32"/>
          <w:highlight w:val="none"/>
        </w:rPr>
        <w:t>构提出书面意见。</w:t>
      </w:r>
    </w:p>
    <w:p>
      <w:pPr>
        <w:pStyle w:val="6"/>
        <w:spacing w:before="0" w:beforeAutospacing="0" w:after="0" w:afterAutospacing="0" w:line="480" w:lineRule="atLeast"/>
        <w:ind w:firstLine="645"/>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 xml:space="preserve">第六章 </w:t>
      </w:r>
      <w:r>
        <w:rPr>
          <w:rFonts w:ascii="黑体" w:hAnsi="黑体" w:eastAsia="黑体" w:cs="黑体"/>
          <w:bCs/>
          <w:color w:val="auto"/>
          <w:sz w:val="32"/>
          <w:szCs w:val="32"/>
          <w:highlight w:val="none"/>
        </w:rPr>
        <w:t xml:space="preserve"> </w:t>
      </w:r>
      <w:r>
        <w:rPr>
          <w:rFonts w:hint="eastAsia" w:ascii="黑体" w:hAnsi="黑体" w:eastAsia="黑体" w:cs="黑体"/>
          <w:bCs/>
          <w:color w:val="auto"/>
          <w:sz w:val="32"/>
          <w:szCs w:val="32"/>
          <w:highlight w:val="none"/>
        </w:rPr>
        <w:t>奖励金的发放和监督管理</w:t>
      </w:r>
    </w:p>
    <w:p>
      <w:pPr>
        <w:pStyle w:val="6"/>
        <w:spacing w:before="0" w:beforeAutospacing="0" w:after="0" w:afterAutospacing="0" w:line="480" w:lineRule="atLeast"/>
        <w:ind w:firstLine="645"/>
        <w:rPr>
          <w:rFonts w:ascii="Times New Roman" w:hAnsi="Times New Roman" w:eastAsia="仿宋_GB2312" w:cs="Times New Roman"/>
          <w:color w:val="auto"/>
          <w:sz w:val="32"/>
          <w:szCs w:val="32"/>
          <w:highlight w:val="none"/>
        </w:rPr>
      </w:pPr>
      <w:r>
        <w:rPr>
          <w:rFonts w:hint="eastAsia" w:ascii="仿宋" w:hAnsi="仿宋" w:eastAsia="仿宋" w:cs="黑体"/>
          <w:b/>
          <w:color w:val="auto"/>
          <w:sz w:val="32"/>
          <w:szCs w:val="32"/>
          <w:highlight w:val="none"/>
        </w:rPr>
        <w:t>第三十七条</w:t>
      </w:r>
      <w:r>
        <w:rPr>
          <w:rFonts w:hint="eastAsia" w:ascii="仿宋" w:hAnsi="仿宋" w:eastAsia="仿宋" w:cs="黑体"/>
          <w:bCs/>
          <w:color w:val="auto"/>
          <w:sz w:val="32"/>
          <w:szCs w:val="32"/>
          <w:highlight w:val="none"/>
        </w:rPr>
        <w:t xml:space="preserve"> </w:t>
      </w:r>
      <w:r>
        <w:rPr>
          <w:rFonts w:ascii="仿宋" w:hAnsi="仿宋" w:eastAsia="仿宋" w:cs="黑体"/>
          <w:bCs/>
          <w:color w:val="auto"/>
          <w:sz w:val="32"/>
          <w:szCs w:val="32"/>
          <w:highlight w:val="none"/>
        </w:rPr>
        <w:t xml:space="preserve"> </w:t>
      </w:r>
      <w:r>
        <w:rPr>
          <w:rFonts w:hint="eastAsia" w:ascii="仿宋" w:hAnsi="仿宋" w:eastAsia="仿宋" w:cs="黑体"/>
          <w:bCs/>
          <w:color w:val="auto"/>
          <w:sz w:val="32"/>
          <w:szCs w:val="32"/>
          <w:highlight w:val="none"/>
        </w:rPr>
        <w:t>校级以上奖学金的奖励金由学校相关部门核发，院级捐赠奖学金的奖励金，由学院按照相关程序报送学校</w:t>
      </w:r>
      <w:r>
        <w:rPr>
          <w:rFonts w:hint="eastAsia" w:ascii="Times New Roman" w:hAnsi="Times New Roman" w:eastAsia="仿宋_GB2312" w:cs="Times New Roman"/>
          <w:color w:val="auto"/>
          <w:sz w:val="32"/>
          <w:szCs w:val="32"/>
          <w:highlight w:val="none"/>
        </w:rPr>
        <w:t>教育发展基金会和会计核算处进行核算和发放。奖励金转入获奖学生的银行卡。</w:t>
      </w:r>
    </w:p>
    <w:p>
      <w:pPr>
        <w:pStyle w:val="6"/>
        <w:spacing w:before="0" w:beforeAutospacing="0" w:after="0" w:afterAutospacing="0" w:line="480" w:lineRule="atLeast"/>
        <w:ind w:firstLine="645"/>
        <w:rPr>
          <w:rFonts w:ascii="仿宋" w:hAnsi="仿宋" w:eastAsia="仿宋" w:cs="黑体"/>
          <w:bCs/>
          <w:color w:val="auto"/>
          <w:sz w:val="32"/>
          <w:szCs w:val="32"/>
          <w:highlight w:val="none"/>
        </w:rPr>
      </w:pPr>
    </w:p>
    <w:p>
      <w:pPr>
        <w:pStyle w:val="6"/>
        <w:spacing w:before="0" w:beforeAutospacing="0" w:after="0" w:afterAutospacing="0" w:line="480" w:lineRule="atLeast"/>
        <w:ind w:firstLine="645"/>
        <w:jc w:val="center"/>
        <w:rPr>
          <w:rFonts w:ascii="Segoe UI" w:hAnsi="Segoe UI" w:cs="Segoe UI"/>
          <w:bCs/>
          <w:color w:val="auto"/>
          <w:sz w:val="21"/>
          <w:szCs w:val="21"/>
          <w:highlight w:val="none"/>
        </w:rPr>
      </w:pPr>
      <w:r>
        <w:rPr>
          <w:rFonts w:hint="eastAsia" w:ascii="黑体" w:hAnsi="黑体" w:eastAsia="黑体" w:cs="黑体"/>
          <w:bCs/>
          <w:color w:val="auto"/>
          <w:sz w:val="32"/>
          <w:szCs w:val="32"/>
          <w:highlight w:val="none"/>
        </w:rPr>
        <w:t>第七章 综合测评方案</w:t>
      </w:r>
    </w:p>
    <w:p>
      <w:pPr>
        <w:pStyle w:val="6"/>
        <w:spacing w:before="0" w:beforeAutospacing="0" w:after="0" w:afterAutospacing="0" w:line="480" w:lineRule="atLeast"/>
        <w:ind w:firstLine="645"/>
        <w:jc w:val="both"/>
        <w:rPr>
          <w:rFonts w:hint="eastAsia" w:ascii="inherit" w:hAnsi="inherit" w:cs="Segoe UI"/>
          <w:color w:val="auto"/>
          <w:sz w:val="21"/>
          <w:szCs w:val="21"/>
          <w:highlight w:val="none"/>
        </w:rPr>
      </w:pPr>
      <w:r>
        <w:rPr>
          <w:rFonts w:hint="eastAsia" w:ascii="inherit" w:hAnsi="inherit" w:cs="Segoe UI"/>
          <w:b/>
          <w:bCs/>
          <w:color w:val="auto"/>
          <w:sz w:val="21"/>
          <w:szCs w:val="21"/>
          <w:highlight w:val="none"/>
        </w:rPr>
        <w:t> </w:t>
      </w:r>
      <w:r>
        <w:rPr>
          <w:rFonts w:hint="eastAsia" w:ascii="仿宋_GB2312" w:hAnsi="Segoe UI" w:eastAsia="仿宋_GB2312" w:cs="Segoe UI"/>
          <w:b/>
          <w:bCs/>
          <w:color w:val="auto"/>
          <w:sz w:val="32"/>
          <w:szCs w:val="32"/>
          <w:highlight w:val="none"/>
        </w:rPr>
        <w:t>第三十八条</w:t>
      </w:r>
      <w:r>
        <w:rPr>
          <w:rFonts w:hint="eastAsia" w:ascii="仿宋_GB2312" w:hAnsi="Segoe UI" w:eastAsia="仿宋_GB2312" w:cs="Segoe UI"/>
          <w:color w:val="auto"/>
          <w:sz w:val="32"/>
          <w:szCs w:val="32"/>
          <w:highlight w:val="none"/>
        </w:rPr>
        <w:t xml:space="preserve"> 综合测评方案详见《中山大学化学学院本科生奖学金综合测评方案》。</w:t>
      </w:r>
    </w:p>
    <w:p>
      <w:pPr>
        <w:pStyle w:val="6"/>
        <w:spacing w:before="0" w:beforeAutospacing="0" w:after="0" w:afterAutospacing="0" w:line="480" w:lineRule="atLeast"/>
        <w:ind w:firstLine="645"/>
        <w:jc w:val="both"/>
        <w:rPr>
          <w:rFonts w:ascii="Segoe UI" w:hAnsi="Segoe UI" w:cs="Segoe UI"/>
          <w:color w:val="auto"/>
          <w:sz w:val="21"/>
          <w:szCs w:val="21"/>
          <w:highlight w:val="none"/>
        </w:rPr>
      </w:pPr>
    </w:p>
    <w:p>
      <w:pPr>
        <w:pStyle w:val="6"/>
        <w:spacing w:before="0" w:beforeAutospacing="0" w:after="0" w:afterAutospacing="0" w:line="480" w:lineRule="atLeast"/>
        <w:ind w:firstLine="645"/>
        <w:jc w:val="center"/>
        <w:rPr>
          <w:rFonts w:ascii="Segoe UI" w:hAnsi="Segoe UI" w:cs="Segoe UI"/>
          <w:color w:val="auto"/>
          <w:sz w:val="32"/>
          <w:szCs w:val="32"/>
          <w:highlight w:val="none"/>
        </w:rPr>
      </w:pPr>
      <w:r>
        <w:rPr>
          <w:rFonts w:hint="eastAsia" w:ascii="黑体" w:hAnsi="黑体" w:eastAsia="黑体" w:cs="Segoe UI"/>
          <w:color w:val="auto"/>
          <w:sz w:val="32"/>
          <w:szCs w:val="32"/>
          <w:highlight w:val="none"/>
        </w:rPr>
        <w:t>第八章</w:t>
      </w:r>
      <w:r>
        <w:rPr>
          <w:rFonts w:ascii="inherit" w:hAnsi="inherit" w:cs="Segoe UI"/>
          <w:color w:val="auto"/>
          <w:sz w:val="32"/>
          <w:szCs w:val="32"/>
          <w:highlight w:val="none"/>
        </w:rPr>
        <w:t>  </w:t>
      </w:r>
      <w:r>
        <w:rPr>
          <w:rFonts w:hint="eastAsia" w:ascii="黑体" w:hAnsi="黑体" w:eastAsia="黑体" w:cs="Segoe UI"/>
          <w:color w:val="auto"/>
          <w:sz w:val="32"/>
          <w:szCs w:val="32"/>
          <w:highlight w:val="none"/>
        </w:rPr>
        <w:t>附则</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第三十九条 </w:t>
      </w:r>
      <w:r>
        <w:rPr>
          <w:rFonts w:hint="eastAsia" w:ascii="仿宋" w:hAnsi="仿宋" w:eastAsia="仿宋" w:cs="仿宋"/>
          <w:color w:val="auto"/>
          <w:sz w:val="32"/>
          <w:szCs w:val="32"/>
          <w:highlight w:val="none"/>
        </w:rPr>
        <w:t>本办法其他未尽事宜依照国家有关政策、学校及学院相关文件执行。</w:t>
      </w:r>
    </w:p>
    <w:p>
      <w:pPr>
        <w:pStyle w:val="6"/>
        <w:spacing w:before="0" w:beforeAutospacing="0" w:after="0" w:afterAutospacing="0" w:line="480" w:lineRule="atLeast"/>
        <w:ind w:firstLine="645"/>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第四十条</w:t>
      </w:r>
      <w:r>
        <w:rPr>
          <w:rFonts w:hint="eastAsia" w:ascii="仿宋" w:hAnsi="仿宋" w:eastAsia="仿宋" w:cs="仿宋"/>
          <w:color w:val="auto"/>
          <w:sz w:val="32"/>
          <w:szCs w:val="32"/>
          <w:highlight w:val="none"/>
        </w:rPr>
        <w:t xml:space="preserve"> </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本办法由中山大学化学学院</w:t>
      </w:r>
      <w:r>
        <w:rPr>
          <w:rFonts w:hint="eastAsia" w:ascii="仿宋" w:hAnsi="仿宋" w:eastAsia="仿宋" w:cs="仿宋"/>
          <w:color w:val="auto"/>
          <w:sz w:val="32"/>
          <w:szCs w:val="32"/>
          <w:highlight w:val="none"/>
        </w:rPr>
        <w:t>学生工作部</w:t>
      </w:r>
      <w:r>
        <w:rPr>
          <w:rFonts w:hint="eastAsia" w:ascii="仿宋" w:hAnsi="仿宋" w:eastAsia="仿宋" w:cs="仿宋"/>
          <w:color w:val="auto"/>
          <w:sz w:val="32"/>
          <w:szCs w:val="32"/>
          <w:highlight w:val="none"/>
        </w:rPr>
        <w:t>负责解释。</w:t>
      </w:r>
    </w:p>
    <w:p>
      <w:pPr>
        <w:pStyle w:val="6"/>
        <w:spacing w:before="0" w:beforeAutospacing="0" w:after="0" w:afterAutospacing="0" w:line="480" w:lineRule="atLeast"/>
        <w:ind w:firstLine="645"/>
        <w:jc w:val="both"/>
        <w:rPr>
          <w:rFonts w:hint="eastAsia" w:ascii="仿宋" w:hAnsi="仿宋" w:eastAsia="仿宋" w:cs="仿宋"/>
          <w:color w:val="auto"/>
          <w:sz w:val="32"/>
          <w:szCs w:val="32"/>
          <w:highlight w:val="none"/>
        </w:rPr>
      </w:pPr>
      <w:r>
        <w:rPr>
          <w:rStyle w:val="10"/>
          <w:rFonts w:hint="eastAsia" w:ascii="仿宋" w:hAnsi="仿宋" w:eastAsia="仿宋" w:cs="仿宋"/>
          <w:color w:val="auto"/>
          <w:sz w:val="32"/>
          <w:szCs w:val="32"/>
          <w:highlight w:val="none"/>
        </w:rPr>
        <w:t>第四十一条 </w:t>
      </w:r>
      <w:r>
        <w:rPr>
          <w:rFonts w:hint="eastAsia" w:ascii="仿宋" w:hAnsi="仿宋" w:eastAsia="仿宋" w:cs="仿宋"/>
          <w:color w:val="auto"/>
          <w:sz w:val="32"/>
          <w:szCs w:val="32"/>
          <w:highlight w:val="none"/>
        </w:rPr>
        <w:t>本办法经学院党政联席讨论通过，自公布之日起施行，学院原有相关规定与本办法不一致的，以本办法为准。</w:t>
      </w:r>
    </w:p>
    <w:p>
      <w:pPr>
        <w:pStyle w:val="6"/>
        <w:spacing w:before="0" w:beforeAutospacing="0" w:after="0" w:afterAutospacing="0" w:line="480" w:lineRule="atLeast"/>
        <w:ind w:firstLine="645"/>
        <w:jc w:val="both"/>
        <w:rPr>
          <w:rFonts w:hint="eastAsia" w:ascii="仿宋" w:hAnsi="仿宋" w:eastAsia="仿宋" w:cs="仿宋"/>
          <w:color w:val="auto"/>
          <w:sz w:val="32"/>
          <w:szCs w:val="32"/>
          <w:highlight w:val="none"/>
        </w:rPr>
      </w:pPr>
    </w:p>
    <w:p>
      <w:pPr>
        <w:pStyle w:val="6"/>
        <w:spacing w:before="0" w:beforeAutospacing="0" w:after="0" w:afterAutospacing="0" w:line="480" w:lineRule="atLeast"/>
        <w:jc w:val="both"/>
        <w:rPr>
          <w:rFonts w:ascii="inherit" w:hAnsi="inherit" w:cs="Segoe UI"/>
          <w:color w:val="auto"/>
          <w:sz w:val="21"/>
          <w:szCs w:val="21"/>
          <w:highlight w:val="none"/>
        </w:rPr>
      </w:pPr>
    </w:p>
    <w:p>
      <w:pPr>
        <w:pStyle w:val="6"/>
        <w:spacing w:before="0" w:beforeAutospacing="0" w:after="0" w:afterAutospacing="0" w:line="480" w:lineRule="atLeast"/>
        <w:jc w:val="both"/>
        <w:rPr>
          <w:rFonts w:ascii="inherit" w:hAnsi="inherit" w:cs="Segoe UI"/>
          <w:color w:val="auto"/>
          <w:sz w:val="21"/>
          <w:szCs w:val="21"/>
          <w:highlight w:val="none"/>
        </w:rPr>
      </w:pPr>
      <w:bookmarkStart w:id="2" w:name="_GoBack"/>
      <w:bookmarkEnd w:id="2"/>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ind w:firstLine="645"/>
        <w:jc w:val="both"/>
        <w:rPr>
          <w:rFonts w:ascii="inherit" w:hAnsi="inherit" w:cs="Segoe UI"/>
          <w:color w:val="auto"/>
          <w:sz w:val="21"/>
          <w:szCs w:val="21"/>
          <w:highlight w:val="none"/>
        </w:rPr>
      </w:pPr>
    </w:p>
    <w:p>
      <w:pPr>
        <w:pStyle w:val="6"/>
        <w:spacing w:before="0" w:beforeAutospacing="0" w:after="0" w:afterAutospacing="0" w:line="480" w:lineRule="atLeast"/>
        <w:jc w:val="both"/>
        <w:rPr>
          <w:rFonts w:ascii="inherit" w:hAnsi="inherit" w:cs="Segoe UI"/>
          <w:color w:val="auto"/>
          <w:sz w:val="21"/>
          <w:szCs w:val="21"/>
          <w:highlight w:val="none"/>
        </w:rPr>
      </w:pPr>
    </w:p>
    <w:p>
      <w:pPr>
        <w:adjustRightInd w:val="0"/>
        <w:snapToGrid w:val="0"/>
        <w:spacing w:line="540" w:lineRule="atLeast"/>
        <w:ind w:right="624" w:firstLine="645"/>
        <w:jc w:val="right"/>
        <w:rPr>
          <w:rFonts w:ascii="仿宋" w:hAnsi="仿宋" w:eastAsia="仿宋" w:cs="仿宋"/>
          <w:kern w:val="0"/>
          <w:sz w:val="32"/>
          <w:szCs w:val="32"/>
        </w:rPr>
      </w:pPr>
      <w:bookmarkStart w:id="0" w:name="OLE_LINK1"/>
      <w:bookmarkStart w:id="1" w:name="OLE_LINK2"/>
    </w:p>
    <w:p>
      <w:pPr>
        <w:pBdr>
          <w:top w:val="single" w:color="auto" w:sz="4" w:space="0"/>
          <w:bottom w:val="single" w:color="auto" w:sz="4" w:space="1"/>
          <w:between w:val="single" w:color="auto" w:sz="4" w:space="1"/>
        </w:pBdr>
        <w:adjustRightInd w:val="0"/>
        <w:snapToGrid w:val="0"/>
        <w:spacing w:line="540" w:lineRule="atLeast"/>
        <w:ind w:firstLine="320" w:firstLineChars="100"/>
        <w:jc w:val="left"/>
        <w:rPr>
          <w:rFonts w:ascii="仿宋" w:hAnsi="仿宋" w:eastAsia="仿宋" w:cs="仿宋"/>
          <w:kern w:val="0"/>
          <w:sz w:val="32"/>
          <w:szCs w:val="32"/>
        </w:rPr>
      </w:pPr>
      <w:r>
        <w:rPr>
          <w:rFonts w:hint="eastAsia" w:ascii="仿宋" w:hAnsi="仿宋" w:eastAsia="仿宋" w:cs="仿宋"/>
          <w:kern w:val="0"/>
          <w:sz w:val="32"/>
          <w:szCs w:val="32"/>
        </w:rPr>
        <w:t>中山大学化学学院</w:t>
      </w:r>
      <w:r>
        <w:rPr>
          <w:rFonts w:ascii="仿宋" w:hAnsi="仿宋" w:eastAsia="仿宋" w:cs="仿宋"/>
          <w:kern w:val="0"/>
          <w:sz w:val="32"/>
          <w:szCs w:val="32"/>
        </w:rPr>
        <w:t xml:space="preserve">  </w:t>
      </w: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w:t>
      </w: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2020</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日印发</w:t>
      </w:r>
      <w:bookmarkEnd w:id="0"/>
      <w:bookmarkEnd w:id="1"/>
    </w:p>
    <w:p>
      <w:pPr>
        <w:pStyle w:val="6"/>
        <w:spacing w:before="0" w:beforeAutospacing="0" w:after="0" w:afterAutospacing="0" w:line="480" w:lineRule="atLeast"/>
        <w:ind w:firstLine="645"/>
        <w:jc w:val="both"/>
        <w:rPr>
          <w:rFonts w:hint="eastAsia" w:ascii="Segoe UI" w:hAnsi="Segoe UI" w:cs="Segoe UI"/>
          <w:color w:val="auto"/>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inherit">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DD"/>
    <w:rsid w:val="00017102"/>
    <w:rsid w:val="00077F21"/>
    <w:rsid w:val="000A383A"/>
    <w:rsid w:val="000B4C20"/>
    <w:rsid w:val="000D301F"/>
    <w:rsid w:val="000D58F5"/>
    <w:rsid w:val="000F7F83"/>
    <w:rsid w:val="001269CC"/>
    <w:rsid w:val="001301DB"/>
    <w:rsid w:val="001A1F55"/>
    <w:rsid w:val="001B251F"/>
    <w:rsid w:val="001D0E41"/>
    <w:rsid w:val="001E29D1"/>
    <w:rsid w:val="00213BF5"/>
    <w:rsid w:val="002334C6"/>
    <w:rsid w:val="00246926"/>
    <w:rsid w:val="002470C5"/>
    <w:rsid w:val="00256996"/>
    <w:rsid w:val="002909F6"/>
    <w:rsid w:val="00292B07"/>
    <w:rsid w:val="002A19D6"/>
    <w:rsid w:val="002C7DDD"/>
    <w:rsid w:val="002F2085"/>
    <w:rsid w:val="003448CD"/>
    <w:rsid w:val="00387F48"/>
    <w:rsid w:val="0039213E"/>
    <w:rsid w:val="003C158D"/>
    <w:rsid w:val="003E2F63"/>
    <w:rsid w:val="003E4E1B"/>
    <w:rsid w:val="00445457"/>
    <w:rsid w:val="004560CD"/>
    <w:rsid w:val="00504AA5"/>
    <w:rsid w:val="00524F57"/>
    <w:rsid w:val="0052512B"/>
    <w:rsid w:val="00547180"/>
    <w:rsid w:val="00574EE8"/>
    <w:rsid w:val="0057657E"/>
    <w:rsid w:val="005E5645"/>
    <w:rsid w:val="006319AF"/>
    <w:rsid w:val="00653CCF"/>
    <w:rsid w:val="00661502"/>
    <w:rsid w:val="0068060A"/>
    <w:rsid w:val="006A03E3"/>
    <w:rsid w:val="006B3285"/>
    <w:rsid w:val="006D4576"/>
    <w:rsid w:val="006E3CA1"/>
    <w:rsid w:val="00722286"/>
    <w:rsid w:val="00727840"/>
    <w:rsid w:val="00756BBF"/>
    <w:rsid w:val="007659DB"/>
    <w:rsid w:val="007929EA"/>
    <w:rsid w:val="007B000E"/>
    <w:rsid w:val="007B07E1"/>
    <w:rsid w:val="007F6E36"/>
    <w:rsid w:val="008A3917"/>
    <w:rsid w:val="008C78DC"/>
    <w:rsid w:val="008F550A"/>
    <w:rsid w:val="00901400"/>
    <w:rsid w:val="009134E5"/>
    <w:rsid w:val="00927E54"/>
    <w:rsid w:val="0096314D"/>
    <w:rsid w:val="009850A7"/>
    <w:rsid w:val="00996F90"/>
    <w:rsid w:val="009C61E7"/>
    <w:rsid w:val="009E5902"/>
    <w:rsid w:val="00AA1FC5"/>
    <w:rsid w:val="00AB5017"/>
    <w:rsid w:val="00AF0AAB"/>
    <w:rsid w:val="00AF452A"/>
    <w:rsid w:val="00AF4918"/>
    <w:rsid w:val="00B0141F"/>
    <w:rsid w:val="00B9149D"/>
    <w:rsid w:val="00C01C35"/>
    <w:rsid w:val="00C114EB"/>
    <w:rsid w:val="00C3007B"/>
    <w:rsid w:val="00C35265"/>
    <w:rsid w:val="00C57FAE"/>
    <w:rsid w:val="00C74388"/>
    <w:rsid w:val="00CD687E"/>
    <w:rsid w:val="00CE0A64"/>
    <w:rsid w:val="00D35CC4"/>
    <w:rsid w:val="00D40A11"/>
    <w:rsid w:val="00D44518"/>
    <w:rsid w:val="00D73529"/>
    <w:rsid w:val="00D857C6"/>
    <w:rsid w:val="00DC055D"/>
    <w:rsid w:val="00DD32BE"/>
    <w:rsid w:val="00DE1B18"/>
    <w:rsid w:val="00DF08E0"/>
    <w:rsid w:val="00DF5083"/>
    <w:rsid w:val="00E00982"/>
    <w:rsid w:val="00E1687B"/>
    <w:rsid w:val="00E30789"/>
    <w:rsid w:val="00E334DD"/>
    <w:rsid w:val="00E45437"/>
    <w:rsid w:val="00E6686B"/>
    <w:rsid w:val="00E94DF5"/>
    <w:rsid w:val="00E954AE"/>
    <w:rsid w:val="00EA491B"/>
    <w:rsid w:val="00EB0CF0"/>
    <w:rsid w:val="00ED2093"/>
    <w:rsid w:val="00F06FAE"/>
    <w:rsid w:val="00F30E7E"/>
    <w:rsid w:val="00F94849"/>
    <w:rsid w:val="00FA1522"/>
    <w:rsid w:val="00FB49A4"/>
    <w:rsid w:val="00FE4FCC"/>
    <w:rsid w:val="00FF4897"/>
    <w:rsid w:val="04475069"/>
    <w:rsid w:val="0AD726E6"/>
    <w:rsid w:val="13E86147"/>
    <w:rsid w:val="2E10412D"/>
    <w:rsid w:val="3B8E6DD4"/>
    <w:rsid w:val="3D5B2DD9"/>
    <w:rsid w:val="4AB70D87"/>
    <w:rsid w:val="4F1B137A"/>
    <w:rsid w:val="50346EA9"/>
    <w:rsid w:val="50E17C13"/>
    <w:rsid w:val="5F182098"/>
    <w:rsid w:val="79BD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3"/>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批注文字 字符"/>
    <w:basedOn w:val="9"/>
    <w:link w:val="2"/>
    <w:semiHidden/>
    <w:qFormat/>
    <w:uiPriority w:val="99"/>
  </w:style>
  <w:style w:type="character" w:customStyle="1" w:styleId="13">
    <w:name w:val="批注主题 字符"/>
    <w:basedOn w:val="12"/>
    <w:link w:val="7"/>
    <w:semiHidden/>
    <w:qFormat/>
    <w:uiPriority w:val="99"/>
    <w:rPr>
      <w:b/>
      <w:bCs/>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字符"/>
    <w:basedOn w:val="9"/>
    <w:link w:val="3"/>
    <w:semiHidden/>
    <w:qFormat/>
    <w:uiPriority w:val="99"/>
    <w:rPr>
      <w:sz w:val="18"/>
      <w:szCs w:val="18"/>
    </w:rPr>
  </w:style>
  <w:style w:type="character" w:customStyle="1" w:styleId="16">
    <w:name w:val="页眉 字符"/>
    <w:basedOn w:val="9"/>
    <w:link w:val="5"/>
    <w:qFormat/>
    <w:uiPriority w:val="99"/>
    <w:rPr>
      <w:sz w:val="18"/>
      <w:szCs w:val="18"/>
    </w:rPr>
  </w:style>
  <w:style w:type="character" w:customStyle="1" w:styleId="17">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1045</Words>
  <Characters>5958</Characters>
  <Lines>49</Lines>
  <Paragraphs>13</Paragraphs>
  <TotalTime>0</TotalTime>
  <ScaleCrop>false</ScaleCrop>
  <LinksUpToDate>false</LinksUpToDate>
  <CharactersWithSpaces>6990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2018-10-06T02:12:00Z</dcterms:created>
  <dc:creator>姚 婉妮</dc:creator>
  <cp:lastModifiedBy>admin</cp:lastModifiedBy>
  <dcterms:modified xsi:type="dcterms:W3CDTF">2020-04-23T09:42:11Z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